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F" w:rsidRPr="00AB2604" w:rsidRDefault="00B94DDF" w:rsidP="00D42520">
      <w:pPr>
        <w:pStyle w:val="Heading1"/>
        <w:rPr>
          <w:rFonts w:eastAsia="Calibri"/>
          <w:b w:val="0"/>
          <w:bCs w:val="0"/>
          <w:smallCaps w:val="0"/>
          <w:sz w:val="20"/>
          <w:szCs w:val="20"/>
          <w:lang w:val="en-US"/>
        </w:rPr>
      </w:pPr>
      <w:bookmarkStart w:id="0" w:name="_GoBack"/>
      <w:bookmarkEnd w:id="0"/>
    </w:p>
    <w:p w:rsidR="003300DE" w:rsidRPr="00AB2604" w:rsidRDefault="00C93D9E" w:rsidP="00D42520">
      <w:pPr>
        <w:pStyle w:val="Heading1"/>
        <w:rPr>
          <w:rFonts w:eastAsia="Calibri"/>
          <w:b w:val="0"/>
          <w:bCs w:val="0"/>
          <w:smallCaps w:val="0"/>
          <w:sz w:val="36"/>
          <w:szCs w:val="36"/>
          <w:lang w:val="en-US"/>
        </w:rPr>
      </w:pPr>
      <w:r w:rsidRPr="00AB2604">
        <w:rPr>
          <w:rFonts w:eastAsia="Calibri"/>
          <w:b w:val="0"/>
          <w:bCs w:val="0"/>
          <w:smallCaps w:val="0"/>
          <w:noProof/>
          <w:sz w:val="36"/>
          <w:szCs w:val="36"/>
          <w:lang w:val="en-US" w:eastAsia="en-US"/>
        </w:rPr>
        <w:drawing>
          <wp:inline distT="0" distB="0" distL="0" distR="0">
            <wp:extent cx="1453515" cy="2040890"/>
            <wp:effectExtent l="0" t="0" r="0" b="0"/>
            <wp:docPr id="2" name="Picture 2" descr="Macbeth-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eth-po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3515" cy="2040890"/>
                    </a:xfrm>
                    <a:prstGeom prst="rect">
                      <a:avLst/>
                    </a:prstGeom>
                    <a:noFill/>
                    <a:ln>
                      <a:noFill/>
                    </a:ln>
                  </pic:spPr>
                </pic:pic>
              </a:graphicData>
            </a:graphic>
          </wp:inline>
        </w:drawing>
      </w:r>
    </w:p>
    <w:p w:rsidR="003300DE" w:rsidRPr="001A199E" w:rsidRDefault="003300DE" w:rsidP="001A199E">
      <w:pPr>
        <w:jc w:val="center"/>
        <w:rPr>
          <w:rFonts w:cs="Calibri"/>
          <w:spacing w:val="4"/>
          <w:sz w:val="16"/>
          <w:szCs w:val="16"/>
        </w:rPr>
      </w:pPr>
    </w:p>
    <w:p w:rsidR="00B94DDF" w:rsidRPr="00AB2604" w:rsidRDefault="00B23C55" w:rsidP="00B23C55">
      <w:pPr>
        <w:ind w:right="-540"/>
        <w:rPr>
          <w:rFonts w:cs="Arial"/>
          <w:b/>
          <w:sz w:val="36"/>
          <w:szCs w:val="36"/>
        </w:rPr>
      </w:pPr>
      <w:r>
        <w:rPr>
          <w:rFonts w:cs="Arial"/>
          <w:b/>
          <w:sz w:val="36"/>
          <w:szCs w:val="36"/>
        </w:rPr>
        <w:t xml:space="preserve">                  </w:t>
      </w:r>
      <w:r w:rsidR="00B94DDF" w:rsidRPr="00AB2604">
        <w:rPr>
          <w:rFonts w:cs="Arial"/>
          <w:b/>
          <w:sz w:val="36"/>
          <w:szCs w:val="36"/>
        </w:rPr>
        <w:t xml:space="preserve">William Shakespeare’s </w:t>
      </w:r>
      <w:r w:rsidR="00EE3563" w:rsidRPr="00AB2604">
        <w:rPr>
          <w:rFonts w:cs="Arial"/>
          <w:b/>
          <w:i/>
          <w:sz w:val="36"/>
          <w:szCs w:val="36"/>
        </w:rPr>
        <w:t xml:space="preserve">Macbeth </w:t>
      </w:r>
      <w:r w:rsidR="00EE3563" w:rsidRPr="00AB2604">
        <w:rPr>
          <w:rFonts w:cs="Arial"/>
          <w:b/>
          <w:sz w:val="36"/>
          <w:szCs w:val="36"/>
        </w:rPr>
        <w:t>(1606)</w:t>
      </w:r>
    </w:p>
    <w:p w:rsidR="001C5C3D" w:rsidRPr="001A199E" w:rsidRDefault="001A199E" w:rsidP="00B23C55">
      <w:pPr>
        <w:ind w:right="-540"/>
        <w:rPr>
          <w:rFonts w:cs="Arial"/>
          <w:b/>
          <w:sz w:val="36"/>
          <w:szCs w:val="36"/>
        </w:rPr>
      </w:pPr>
      <w:r>
        <w:rPr>
          <w:rFonts w:cs="Arial"/>
          <w:b/>
          <w:sz w:val="36"/>
          <w:szCs w:val="36"/>
        </w:rPr>
        <w:t xml:space="preserve">                </w:t>
      </w:r>
      <w:r w:rsidR="00DB708B">
        <w:rPr>
          <w:rFonts w:cs="Arial"/>
          <w:b/>
          <w:sz w:val="36"/>
          <w:szCs w:val="36"/>
        </w:rPr>
        <w:t>Clash of Interpretations</w:t>
      </w:r>
      <w:r>
        <w:rPr>
          <w:rFonts w:cs="Arial"/>
          <w:b/>
          <w:sz w:val="36"/>
          <w:szCs w:val="36"/>
        </w:rPr>
        <w:t xml:space="preserve"> Speaker Format</w:t>
      </w:r>
    </w:p>
    <w:p w:rsidR="001A199E" w:rsidRPr="001A199E" w:rsidRDefault="001A199E" w:rsidP="00B94DDF">
      <w:pPr>
        <w:rPr>
          <w:rFonts w:cs="Arial"/>
          <w:sz w:val="16"/>
          <w:szCs w:val="16"/>
          <w:u w:val="single"/>
        </w:rPr>
      </w:pPr>
    </w:p>
    <w:p w:rsidR="001A199E" w:rsidRDefault="001A199E" w:rsidP="00B94DDF">
      <w:pPr>
        <w:rPr>
          <w:rFonts w:cs="Arial"/>
          <w:b/>
          <w:sz w:val="28"/>
          <w:szCs w:val="28"/>
          <w:u w:val="single"/>
        </w:rPr>
      </w:pPr>
      <w:r>
        <w:rPr>
          <w:rFonts w:cs="Arial"/>
          <w:sz w:val="28"/>
          <w:szCs w:val="28"/>
        </w:rPr>
        <w:tab/>
      </w:r>
      <w:r>
        <w:rPr>
          <w:rFonts w:cs="Arial"/>
          <w:b/>
          <w:sz w:val="28"/>
          <w:szCs w:val="28"/>
          <w:u w:val="single"/>
        </w:rPr>
        <w:t>Contentions</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Pr="001A199E">
        <w:rPr>
          <w:rFonts w:cs="Arial"/>
          <w:b/>
          <w:sz w:val="28"/>
          <w:szCs w:val="28"/>
          <w:u w:val="single"/>
        </w:rPr>
        <w:t>3 Minutes Apiece</w:t>
      </w:r>
    </w:p>
    <w:p w:rsidR="001A199E" w:rsidRDefault="001A199E" w:rsidP="00B94DDF">
      <w:pPr>
        <w:rPr>
          <w:rFonts w:cs="Arial"/>
          <w:b/>
          <w:sz w:val="28"/>
          <w:szCs w:val="28"/>
        </w:rPr>
      </w:pPr>
      <w:r>
        <w:rPr>
          <w:rFonts w:cs="Arial"/>
          <w:b/>
          <w:sz w:val="28"/>
          <w:szCs w:val="28"/>
        </w:rPr>
        <w:tab/>
        <w:t>Interpretation A</w:t>
      </w:r>
    </w:p>
    <w:p w:rsidR="001A199E" w:rsidRDefault="001A199E" w:rsidP="00B94DDF">
      <w:pPr>
        <w:rPr>
          <w:rFonts w:cs="Arial"/>
          <w:b/>
          <w:sz w:val="28"/>
          <w:szCs w:val="28"/>
        </w:rPr>
      </w:pPr>
      <w:r>
        <w:rPr>
          <w:rFonts w:cs="Arial"/>
          <w:b/>
          <w:sz w:val="28"/>
          <w:szCs w:val="28"/>
        </w:rPr>
        <w:tab/>
        <w:t>Interpretation B</w:t>
      </w:r>
    </w:p>
    <w:p w:rsidR="001A199E" w:rsidRDefault="001A199E" w:rsidP="00B94DDF">
      <w:pPr>
        <w:rPr>
          <w:rFonts w:cs="Arial"/>
          <w:b/>
          <w:sz w:val="28"/>
          <w:szCs w:val="28"/>
        </w:rPr>
      </w:pPr>
      <w:r>
        <w:rPr>
          <w:rFonts w:cs="Arial"/>
          <w:b/>
          <w:sz w:val="28"/>
          <w:szCs w:val="28"/>
        </w:rPr>
        <w:tab/>
        <w:t>Interpretation C</w:t>
      </w:r>
    </w:p>
    <w:p w:rsidR="001A199E" w:rsidRDefault="001A199E" w:rsidP="00B94DDF">
      <w:pPr>
        <w:rPr>
          <w:rFonts w:cs="Arial"/>
          <w:b/>
          <w:sz w:val="28"/>
          <w:szCs w:val="28"/>
        </w:rPr>
      </w:pPr>
    </w:p>
    <w:p w:rsidR="001A199E" w:rsidRDefault="001A199E" w:rsidP="00B94DDF">
      <w:pPr>
        <w:rPr>
          <w:rFonts w:cs="Arial"/>
          <w:b/>
          <w:sz w:val="28"/>
          <w:szCs w:val="28"/>
          <w:u w:val="single"/>
        </w:rPr>
      </w:pPr>
      <w:r>
        <w:rPr>
          <w:rFonts w:cs="Arial"/>
          <w:b/>
          <w:sz w:val="28"/>
          <w:szCs w:val="28"/>
        </w:rPr>
        <w:tab/>
      </w:r>
      <w:r>
        <w:rPr>
          <w:rFonts w:cs="Arial"/>
          <w:b/>
          <w:sz w:val="28"/>
          <w:szCs w:val="28"/>
          <w:u w:val="single"/>
        </w:rPr>
        <w:t>Counter-Arguments</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u w:val="single"/>
        </w:rPr>
        <w:t>3 Minutes Apiece</w:t>
      </w:r>
    </w:p>
    <w:p w:rsidR="001A199E" w:rsidRDefault="001A199E" w:rsidP="00B94DDF">
      <w:pPr>
        <w:rPr>
          <w:rFonts w:cs="Arial"/>
          <w:b/>
          <w:sz w:val="28"/>
          <w:szCs w:val="28"/>
        </w:rPr>
      </w:pPr>
      <w:r>
        <w:rPr>
          <w:rFonts w:cs="Arial"/>
          <w:b/>
          <w:sz w:val="28"/>
          <w:szCs w:val="28"/>
        </w:rPr>
        <w:tab/>
        <w:t>Interpretation C</w:t>
      </w:r>
    </w:p>
    <w:p w:rsidR="001A199E" w:rsidRDefault="001A199E" w:rsidP="00B94DDF">
      <w:pPr>
        <w:rPr>
          <w:rFonts w:cs="Arial"/>
          <w:b/>
          <w:sz w:val="28"/>
          <w:szCs w:val="28"/>
        </w:rPr>
      </w:pPr>
      <w:r>
        <w:rPr>
          <w:rFonts w:cs="Arial"/>
          <w:b/>
          <w:sz w:val="28"/>
          <w:szCs w:val="28"/>
        </w:rPr>
        <w:tab/>
        <w:t>Interpretation B</w:t>
      </w:r>
    </w:p>
    <w:p w:rsidR="001A199E" w:rsidRDefault="001A199E" w:rsidP="00B94DDF">
      <w:pPr>
        <w:rPr>
          <w:rFonts w:cs="Arial"/>
          <w:b/>
          <w:sz w:val="28"/>
          <w:szCs w:val="28"/>
        </w:rPr>
      </w:pPr>
      <w:r>
        <w:rPr>
          <w:rFonts w:cs="Arial"/>
          <w:b/>
          <w:sz w:val="28"/>
          <w:szCs w:val="28"/>
        </w:rPr>
        <w:tab/>
        <w:t>Interpretation A</w:t>
      </w:r>
    </w:p>
    <w:p w:rsidR="001A199E" w:rsidRDefault="001A199E" w:rsidP="00B94DDF">
      <w:pPr>
        <w:rPr>
          <w:rFonts w:cs="Arial"/>
          <w:b/>
          <w:sz w:val="28"/>
          <w:szCs w:val="28"/>
        </w:rPr>
      </w:pPr>
    </w:p>
    <w:p w:rsidR="001A199E" w:rsidRDefault="001A199E" w:rsidP="00B94DDF">
      <w:pPr>
        <w:rPr>
          <w:rFonts w:cs="Arial"/>
          <w:b/>
          <w:sz w:val="28"/>
          <w:szCs w:val="28"/>
          <w:u w:val="single"/>
        </w:rPr>
      </w:pPr>
      <w:r>
        <w:rPr>
          <w:rFonts w:cs="Arial"/>
          <w:b/>
          <w:sz w:val="28"/>
          <w:szCs w:val="28"/>
        </w:rPr>
        <w:tab/>
      </w:r>
      <w:r>
        <w:rPr>
          <w:rFonts w:cs="Arial"/>
          <w:b/>
          <w:sz w:val="28"/>
          <w:szCs w:val="28"/>
          <w:u w:val="single"/>
        </w:rPr>
        <w:t>Rebuttals</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u w:val="single"/>
        </w:rPr>
        <w:t>3 Minutes Apiece</w:t>
      </w:r>
    </w:p>
    <w:p w:rsidR="001A199E" w:rsidRDefault="001A199E" w:rsidP="00B94DDF">
      <w:pPr>
        <w:rPr>
          <w:rFonts w:cs="Arial"/>
          <w:b/>
          <w:sz w:val="28"/>
          <w:szCs w:val="28"/>
        </w:rPr>
      </w:pPr>
      <w:r>
        <w:rPr>
          <w:rFonts w:cs="Arial"/>
          <w:b/>
          <w:sz w:val="28"/>
          <w:szCs w:val="28"/>
        </w:rPr>
        <w:tab/>
        <w:t>Interpretation A</w:t>
      </w:r>
      <w:r>
        <w:rPr>
          <w:rFonts w:cs="Arial"/>
          <w:b/>
          <w:sz w:val="28"/>
          <w:szCs w:val="28"/>
        </w:rPr>
        <w:tab/>
      </w:r>
    </w:p>
    <w:p w:rsidR="001A199E" w:rsidRDefault="001A199E" w:rsidP="00B94DDF">
      <w:pPr>
        <w:rPr>
          <w:rFonts w:cs="Arial"/>
          <w:b/>
          <w:sz w:val="28"/>
          <w:szCs w:val="28"/>
        </w:rPr>
      </w:pPr>
      <w:r>
        <w:rPr>
          <w:rFonts w:cs="Arial"/>
          <w:b/>
          <w:sz w:val="28"/>
          <w:szCs w:val="28"/>
        </w:rPr>
        <w:tab/>
        <w:t>Interpretation B</w:t>
      </w:r>
    </w:p>
    <w:p w:rsidR="001A199E" w:rsidRDefault="001A199E" w:rsidP="00B94DDF">
      <w:pPr>
        <w:rPr>
          <w:rFonts w:cs="Arial"/>
          <w:b/>
          <w:sz w:val="28"/>
          <w:szCs w:val="28"/>
        </w:rPr>
      </w:pPr>
      <w:r>
        <w:rPr>
          <w:rFonts w:cs="Arial"/>
          <w:b/>
          <w:sz w:val="28"/>
          <w:szCs w:val="28"/>
        </w:rPr>
        <w:tab/>
        <w:t>Interpretation C</w:t>
      </w:r>
    </w:p>
    <w:p w:rsidR="001A199E" w:rsidRDefault="001A199E" w:rsidP="00B94DDF">
      <w:pPr>
        <w:rPr>
          <w:rFonts w:cs="Arial"/>
          <w:b/>
          <w:sz w:val="28"/>
          <w:szCs w:val="28"/>
        </w:rPr>
      </w:pPr>
    </w:p>
    <w:p w:rsidR="001A199E" w:rsidRDefault="001A199E" w:rsidP="00B94DDF">
      <w:pPr>
        <w:rPr>
          <w:rFonts w:cs="Arial"/>
          <w:b/>
          <w:sz w:val="28"/>
          <w:szCs w:val="28"/>
          <w:u w:val="single"/>
        </w:rPr>
      </w:pPr>
      <w:r>
        <w:rPr>
          <w:rFonts w:cs="Arial"/>
          <w:b/>
          <w:sz w:val="28"/>
          <w:szCs w:val="28"/>
        </w:rPr>
        <w:tab/>
      </w:r>
      <w:r>
        <w:rPr>
          <w:rFonts w:cs="Arial"/>
          <w:b/>
          <w:sz w:val="28"/>
          <w:szCs w:val="28"/>
          <w:u w:val="single"/>
        </w:rPr>
        <w:t>Argument Evaluations</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u w:val="single"/>
        </w:rPr>
        <w:t>4 Minutes Apiece</w:t>
      </w:r>
    </w:p>
    <w:p w:rsidR="001A199E" w:rsidRDefault="001A199E" w:rsidP="00B94DDF">
      <w:pPr>
        <w:rPr>
          <w:rFonts w:cs="Arial"/>
          <w:b/>
          <w:sz w:val="28"/>
          <w:szCs w:val="28"/>
        </w:rPr>
      </w:pPr>
      <w:r>
        <w:rPr>
          <w:rFonts w:cs="Arial"/>
          <w:b/>
          <w:sz w:val="28"/>
          <w:szCs w:val="28"/>
        </w:rPr>
        <w:tab/>
        <w:t>Interpretation A</w:t>
      </w:r>
    </w:p>
    <w:p w:rsidR="001A199E" w:rsidRDefault="001A199E" w:rsidP="00B94DDF">
      <w:pPr>
        <w:rPr>
          <w:rFonts w:cs="Arial"/>
          <w:b/>
          <w:sz w:val="28"/>
          <w:szCs w:val="28"/>
        </w:rPr>
      </w:pPr>
      <w:r>
        <w:rPr>
          <w:rFonts w:cs="Arial"/>
          <w:b/>
          <w:sz w:val="28"/>
          <w:szCs w:val="28"/>
        </w:rPr>
        <w:tab/>
        <w:t>Interpretation B</w:t>
      </w:r>
    </w:p>
    <w:p w:rsidR="001A199E" w:rsidRDefault="001A199E" w:rsidP="00B94DDF">
      <w:pPr>
        <w:rPr>
          <w:rFonts w:cs="Arial"/>
          <w:b/>
          <w:sz w:val="28"/>
          <w:szCs w:val="28"/>
        </w:rPr>
      </w:pPr>
      <w:r>
        <w:rPr>
          <w:rFonts w:cs="Arial"/>
          <w:b/>
          <w:sz w:val="28"/>
          <w:szCs w:val="28"/>
        </w:rPr>
        <w:tab/>
        <w:t>Interpretation C</w:t>
      </w:r>
    </w:p>
    <w:p w:rsidR="001A199E" w:rsidRDefault="001A199E" w:rsidP="00B94DDF">
      <w:pPr>
        <w:rPr>
          <w:rFonts w:cs="Arial"/>
          <w:b/>
          <w:sz w:val="28"/>
          <w:szCs w:val="28"/>
        </w:rPr>
      </w:pPr>
    </w:p>
    <w:p w:rsidR="004521BB" w:rsidRDefault="001A199E" w:rsidP="00955218">
      <w:pPr>
        <w:jc w:val="left"/>
        <w:rPr>
          <w:rFonts w:cs="Arial"/>
          <w:sz w:val="28"/>
          <w:szCs w:val="28"/>
        </w:rPr>
      </w:pPr>
      <w:r>
        <w:rPr>
          <w:rFonts w:cs="Arial"/>
          <w:sz w:val="28"/>
          <w:szCs w:val="28"/>
        </w:rPr>
        <w:t>The total time, with minimal time allot</w:t>
      </w:r>
      <w:r w:rsidR="00955218">
        <w:rPr>
          <w:rFonts w:cs="Arial"/>
          <w:sz w:val="28"/>
          <w:szCs w:val="28"/>
        </w:rPr>
        <w:t>ted to prepare in between speaking components</w:t>
      </w:r>
      <w:r>
        <w:rPr>
          <w:rFonts w:cs="Arial"/>
          <w:sz w:val="28"/>
          <w:szCs w:val="28"/>
        </w:rPr>
        <w:t xml:space="preserve">, is 45 minutes.  </w:t>
      </w:r>
    </w:p>
    <w:p w:rsidR="00955218" w:rsidRDefault="00A25D66" w:rsidP="00A25D66">
      <w:pPr>
        <w:jc w:val="center"/>
        <w:rPr>
          <w:rFonts w:cs="Arial"/>
          <w:b/>
          <w:sz w:val="36"/>
          <w:szCs w:val="36"/>
        </w:rPr>
      </w:pPr>
      <w:r>
        <w:rPr>
          <w:rFonts w:cs="Arial"/>
          <w:b/>
          <w:sz w:val="36"/>
          <w:szCs w:val="36"/>
        </w:rPr>
        <w:lastRenderedPageBreak/>
        <w:t>Speaking Component Roles</w:t>
      </w:r>
    </w:p>
    <w:p w:rsidR="00A25D66" w:rsidRDefault="00A25D66" w:rsidP="00A25D66">
      <w:pPr>
        <w:jc w:val="center"/>
        <w:rPr>
          <w:rFonts w:cs="Arial"/>
          <w:b/>
          <w:sz w:val="36"/>
          <w:szCs w:val="36"/>
        </w:rPr>
      </w:pPr>
    </w:p>
    <w:p w:rsidR="00484994" w:rsidRPr="00484994" w:rsidRDefault="00484994" w:rsidP="00745780">
      <w:pPr>
        <w:jc w:val="left"/>
        <w:rPr>
          <w:rFonts w:cs="Arial"/>
          <w:sz w:val="28"/>
          <w:szCs w:val="28"/>
        </w:rPr>
      </w:pPr>
      <w:r>
        <w:rPr>
          <w:rFonts w:cs="Arial"/>
          <w:sz w:val="28"/>
          <w:szCs w:val="28"/>
        </w:rPr>
        <w:t xml:space="preserve">Note that for each speaking component, a single student speaks from each team.  </w:t>
      </w:r>
    </w:p>
    <w:p w:rsidR="00484994" w:rsidRDefault="00484994" w:rsidP="00745780">
      <w:pPr>
        <w:jc w:val="left"/>
        <w:rPr>
          <w:rFonts w:cs="Arial"/>
          <w:b/>
          <w:sz w:val="28"/>
          <w:szCs w:val="28"/>
          <w:u w:val="single"/>
        </w:rPr>
      </w:pPr>
    </w:p>
    <w:p w:rsidR="00745780" w:rsidRPr="00745780" w:rsidRDefault="00745780" w:rsidP="00745780">
      <w:pPr>
        <w:jc w:val="left"/>
        <w:rPr>
          <w:rFonts w:cs="Arial"/>
          <w:b/>
          <w:sz w:val="28"/>
          <w:szCs w:val="28"/>
          <w:u w:val="single"/>
        </w:rPr>
      </w:pPr>
      <w:r>
        <w:rPr>
          <w:rFonts w:cs="Arial"/>
          <w:b/>
          <w:sz w:val="28"/>
          <w:szCs w:val="28"/>
          <w:u w:val="single"/>
        </w:rPr>
        <w:t>Contentions</w:t>
      </w:r>
      <w:r w:rsidR="00484994">
        <w:rPr>
          <w:rFonts w:cs="Arial"/>
          <w:b/>
          <w:sz w:val="28"/>
          <w:szCs w:val="28"/>
          <w:u w:val="single"/>
        </w:rPr>
        <w:t xml:space="preserve"> (3 minutes)</w:t>
      </w:r>
    </w:p>
    <w:p w:rsidR="00955218" w:rsidRDefault="00955218" w:rsidP="00745780">
      <w:pPr>
        <w:jc w:val="left"/>
        <w:rPr>
          <w:rFonts w:cs="Arial"/>
          <w:b/>
          <w:sz w:val="28"/>
          <w:szCs w:val="28"/>
        </w:rPr>
      </w:pPr>
    </w:p>
    <w:p w:rsidR="00745780" w:rsidRDefault="00745780" w:rsidP="00745780">
      <w:pPr>
        <w:jc w:val="left"/>
        <w:rPr>
          <w:rFonts w:cs="Arial"/>
          <w:sz w:val="28"/>
          <w:szCs w:val="28"/>
        </w:rPr>
      </w:pPr>
      <w:r>
        <w:rPr>
          <w:rFonts w:cs="Arial"/>
          <w:sz w:val="28"/>
          <w:szCs w:val="28"/>
        </w:rPr>
        <w:t xml:space="preserve">In their contentions, each team lays out their developed case, advancing and upholding their overall interpretive argument.  A ‘contention’ in argumentation jargon is merely a developed argument, using more than one piece of evidence.  Of course, each piece of evidence must be connected to its argumentative claim through reasoning or warrants that explain, in a student’s own words, how the evidence supports and proves the claim.  </w:t>
      </w:r>
      <w:r>
        <w:rPr>
          <w:rFonts w:cs="Arial"/>
          <w:sz w:val="28"/>
          <w:szCs w:val="28"/>
        </w:rPr>
        <w:br/>
      </w:r>
      <w:r>
        <w:rPr>
          <w:rFonts w:cs="Arial"/>
          <w:sz w:val="28"/>
          <w:szCs w:val="28"/>
        </w:rPr>
        <w:br/>
        <w:t xml:space="preserve">In this speaking component, the speaker should introduce herself and state the overall interpretive argument that her contentions will advance and uphold.  </w:t>
      </w:r>
      <w:r>
        <w:rPr>
          <w:rFonts w:cs="Arial"/>
          <w:sz w:val="28"/>
          <w:szCs w:val="28"/>
        </w:rPr>
        <w:br/>
      </w:r>
      <w:r>
        <w:rPr>
          <w:rFonts w:cs="Arial"/>
          <w:sz w:val="28"/>
          <w:szCs w:val="28"/>
        </w:rPr>
        <w:br/>
        <w:t xml:space="preserve">Note that after the first contention is delivered, the subsequent contentions </w:t>
      </w:r>
      <w:r>
        <w:rPr>
          <w:rFonts w:cs="Arial"/>
          <w:b/>
          <w:sz w:val="28"/>
          <w:szCs w:val="28"/>
        </w:rPr>
        <w:t>do not</w:t>
      </w:r>
      <w:r>
        <w:rPr>
          <w:rFonts w:cs="Arial"/>
          <w:sz w:val="28"/>
          <w:szCs w:val="28"/>
        </w:rPr>
        <w:t xml:space="preserve"> directly refute or counter-argued against the contentions that preceded.  This refutational argumentation is reserved for the next speaking component, Counter-Arguments </w:t>
      </w:r>
    </w:p>
    <w:p w:rsidR="00745780" w:rsidRDefault="00745780" w:rsidP="00745780">
      <w:pPr>
        <w:jc w:val="left"/>
        <w:rPr>
          <w:rFonts w:cs="Arial"/>
          <w:sz w:val="28"/>
          <w:szCs w:val="28"/>
        </w:rPr>
      </w:pPr>
    </w:p>
    <w:p w:rsidR="00745780" w:rsidRDefault="00745780" w:rsidP="00745780">
      <w:pPr>
        <w:jc w:val="left"/>
        <w:rPr>
          <w:rFonts w:cs="Arial"/>
          <w:b/>
          <w:sz w:val="28"/>
          <w:szCs w:val="28"/>
          <w:u w:val="single"/>
        </w:rPr>
      </w:pPr>
      <w:r>
        <w:rPr>
          <w:rFonts w:cs="Arial"/>
          <w:b/>
          <w:sz w:val="28"/>
          <w:szCs w:val="28"/>
          <w:u w:val="single"/>
        </w:rPr>
        <w:t>Counter-Arguments</w:t>
      </w:r>
      <w:r w:rsidR="00484994">
        <w:rPr>
          <w:rFonts w:cs="Arial"/>
          <w:b/>
          <w:sz w:val="28"/>
          <w:szCs w:val="28"/>
          <w:u w:val="single"/>
        </w:rPr>
        <w:t xml:space="preserve"> (3 minutes)</w:t>
      </w:r>
    </w:p>
    <w:p w:rsidR="00745780" w:rsidRDefault="00745780" w:rsidP="00745780">
      <w:pPr>
        <w:jc w:val="left"/>
        <w:rPr>
          <w:rFonts w:cs="Arial"/>
          <w:b/>
          <w:sz w:val="28"/>
          <w:szCs w:val="28"/>
          <w:u w:val="single"/>
        </w:rPr>
      </w:pPr>
    </w:p>
    <w:p w:rsidR="00745780" w:rsidRDefault="00484994" w:rsidP="00745780">
      <w:pPr>
        <w:jc w:val="left"/>
        <w:rPr>
          <w:rFonts w:cs="Arial"/>
          <w:sz w:val="28"/>
          <w:szCs w:val="28"/>
        </w:rPr>
      </w:pPr>
      <w:r>
        <w:rPr>
          <w:rFonts w:cs="Arial"/>
          <w:sz w:val="28"/>
          <w:szCs w:val="28"/>
        </w:rPr>
        <w:t xml:space="preserve">In their counter-arguments, each team must think analytically and critically about the actual contentions offered by the other teams and must generate a solid counter-argument against each contention.  So each team will make four counter-arguments during this speaking component, and each contention will be answered by two counter-arguments.  </w:t>
      </w:r>
      <w:r>
        <w:rPr>
          <w:rFonts w:cs="Arial"/>
          <w:sz w:val="28"/>
          <w:szCs w:val="28"/>
        </w:rPr>
        <w:br/>
      </w:r>
      <w:r>
        <w:rPr>
          <w:rFonts w:cs="Arial"/>
          <w:sz w:val="28"/>
          <w:szCs w:val="28"/>
        </w:rPr>
        <w:br/>
        <w:t xml:space="preserve">The quality and force of counter-arguments can be judged and assessed like any argument.  That is, a counter-argument should have a claim, which should be buttressed by evidence or grounds, connected back up to the claim through reasoning or warrants.  The strength of the evidence – its alignment with the claim, the depth of reasoning explaining it, its sufficiency and credibility – directly correlate with the strength of the counter-argument.  The stronger the counter-arguments against other teams’ contentions, the more likely a team’s own contentions will prevail.  </w:t>
      </w:r>
    </w:p>
    <w:p w:rsidR="00484994" w:rsidRDefault="00484994" w:rsidP="00745780">
      <w:pPr>
        <w:jc w:val="left"/>
        <w:rPr>
          <w:rFonts w:cs="Arial"/>
          <w:sz w:val="28"/>
          <w:szCs w:val="28"/>
        </w:rPr>
      </w:pPr>
    </w:p>
    <w:p w:rsidR="00484994" w:rsidRDefault="00484994" w:rsidP="00745780">
      <w:pPr>
        <w:jc w:val="left"/>
        <w:rPr>
          <w:rFonts w:cs="Arial"/>
          <w:sz w:val="28"/>
          <w:szCs w:val="28"/>
        </w:rPr>
      </w:pPr>
      <w:r>
        <w:rPr>
          <w:rFonts w:cs="Arial"/>
          <w:sz w:val="28"/>
          <w:szCs w:val="28"/>
        </w:rPr>
        <w:t xml:space="preserve">When delivering counter-arguments, the student should refer to the team that offered the contention that is being addressed (‘The Macbeth group said . . .’), and then should summarize the contention (‘that Macbeth is most responsible for his tragic outcome because he </w:t>
      </w:r>
      <w:r w:rsidR="00FA1DF8">
        <w:rPr>
          <w:rFonts w:cs="Arial"/>
          <w:sz w:val="28"/>
          <w:szCs w:val="28"/>
        </w:rPr>
        <w:t xml:space="preserve">killed Duncan, starting the chain of events that ended in tragedy’), before offering a counter-claim (‘but that literal reading doesn’t consider the fact that the witches inserted the idea that he would be king into Macbeth’s mind – through their unearthly, immaterial properties, the witches represent a kind of ever-present evil that exists in the world outside of individuals, but they function to wreck people’s lives.’).  </w:t>
      </w:r>
    </w:p>
    <w:p w:rsidR="00FA1DF8" w:rsidRDefault="00FA1DF8" w:rsidP="00745780">
      <w:pPr>
        <w:jc w:val="left"/>
        <w:rPr>
          <w:rFonts w:cs="Arial"/>
          <w:sz w:val="28"/>
          <w:szCs w:val="28"/>
        </w:rPr>
      </w:pPr>
    </w:p>
    <w:p w:rsidR="00FA1DF8" w:rsidRDefault="00FA1DF8" w:rsidP="00745780">
      <w:pPr>
        <w:jc w:val="left"/>
        <w:rPr>
          <w:rFonts w:cs="Arial"/>
          <w:b/>
          <w:sz w:val="28"/>
          <w:szCs w:val="28"/>
          <w:u w:val="single"/>
        </w:rPr>
      </w:pPr>
      <w:r>
        <w:rPr>
          <w:rFonts w:cs="Arial"/>
          <w:b/>
          <w:sz w:val="28"/>
          <w:szCs w:val="28"/>
          <w:u w:val="single"/>
        </w:rPr>
        <w:t>Rebuttal</w:t>
      </w:r>
    </w:p>
    <w:p w:rsidR="00FA1DF8" w:rsidRDefault="00FA1DF8" w:rsidP="00745780">
      <w:pPr>
        <w:jc w:val="left"/>
        <w:rPr>
          <w:rFonts w:cs="Arial"/>
          <w:b/>
          <w:sz w:val="28"/>
          <w:szCs w:val="28"/>
          <w:u w:val="single"/>
        </w:rPr>
      </w:pPr>
    </w:p>
    <w:p w:rsidR="00FA1DF8" w:rsidRDefault="00FA1DF8" w:rsidP="00745780">
      <w:pPr>
        <w:jc w:val="left"/>
        <w:rPr>
          <w:rFonts w:cs="Arial"/>
          <w:sz w:val="28"/>
          <w:szCs w:val="28"/>
        </w:rPr>
      </w:pPr>
      <w:r>
        <w:rPr>
          <w:rFonts w:cs="Arial"/>
          <w:sz w:val="28"/>
          <w:szCs w:val="28"/>
        </w:rPr>
        <w:t xml:space="preserve">Each team needs to refute the counter-arguments made by the other two teams.  The tracking form (‘flow sheet’) is an essential instrument here.  Counter-arguments cannot be answered and refuted if they are not recorded on the flow sheet – they will be forgotten, in that case, and answered generally, if at all.  So every student in a Clash of Interpretations must flow the arguments carefully.  </w:t>
      </w:r>
    </w:p>
    <w:p w:rsidR="00FA1DF8" w:rsidRDefault="00FA1DF8" w:rsidP="00745780">
      <w:pPr>
        <w:jc w:val="left"/>
        <w:rPr>
          <w:rFonts w:cs="Arial"/>
          <w:sz w:val="28"/>
          <w:szCs w:val="28"/>
        </w:rPr>
      </w:pPr>
    </w:p>
    <w:p w:rsidR="00FA1DF8" w:rsidRDefault="00FA1DF8" w:rsidP="00745780">
      <w:pPr>
        <w:jc w:val="left"/>
        <w:rPr>
          <w:rFonts w:cs="Arial"/>
          <w:sz w:val="28"/>
          <w:szCs w:val="28"/>
        </w:rPr>
      </w:pPr>
      <w:r>
        <w:rPr>
          <w:rFonts w:cs="Arial"/>
          <w:sz w:val="28"/>
          <w:szCs w:val="28"/>
        </w:rPr>
        <w:t xml:space="preserve">In </w:t>
      </w:r>
      <w:r w:rsidR="005F5BB4">
        <w:rPr>
          <w:rFonts w:cs="Arial"/>
          <w:sz w:val="28"/>
          <w:szCs w:val="28"/>
        </w:rPr>
        <w:t>their refutation,</w:t>
      </w:r>
      <w:r>
        <w:rPr>
          <w:rFonts w:cs="Arial"/>
          <w:sz w:val="28"/>
          <w:szCs w:val="28"/>
        </w:rPr>
        <w:t xml:space="preserve"> each student should review the evidence that supports </w:t>
      </w:r>
      <w:r w:rsidR="005F5BB4">
        <w:rPr>
          <w:rFonts w:cs="Arial"/>
          <w:sz w:val="28"/>
          <w:szCs w:val="28"/>
        </w:rPr>
        <w:t xml:space="preserve">the counter-arguments closely and with skeptical reasoning.  </w:t>
      </w:r>
      <w:r w:rsidR="00613759">
        <w:rPr>
          <w:rFonts w:cs="Arial"/>
          <w:sz w:val="28"/>
          <w:szCs w:val="28"/>
        </w:rPr>
        <w:t xml:space="preserve">They should look back to their contention, to see if the initial text they presented and interpreted can surmount the counter-argument with the addition of extended reasoning.  The rebuttal should refer to and summarize the counter-argument (‘They said . . .’) before addressing and refuting it (‘but they are wrong because . . .’ or ‘which is a good point, but doesn’t fully negate our point that . . .’).  </w:t>
      </w:r>
    </w:p>
    <w:p w:rsidR="00613759" w:rsidRDefault="00613759" w:rsidP="00745780">
      <w:pPr>
        <w:jc w:val="left"/>
        <w:rPr>
          <w:rFonts w:cs="Arial"/>
          <w:sz w:val="28"/>
          <w:szCs w:val="28"/>
        </w:rPr>
      </w:pPr>
    </w:p>
    <w:p w:rsidR="00613759" w:rsidRDefault="00613759" w:rsidP="00745780">
      <w:pPr>
        <w:jc w:val="left"/>
        <w:rPr>
          <w:rFonts w:cs="Arial"/>
          <w:b/>
          <w:sz w:val="28"/>
          <w:szCs w:val="28"/>
          <w:u w:val="single"/>
        </w:rPr>
      </w:pPr>
      <w:r>
        <w:rPr>
          <w:rFonts w:cs="Arial"/>
          <w:b/>
          <w:sz w:val="28"/>
          <w:szCs w:val="28"/>
          <w:u w:val="single"/>
        </w:rPr>
        <w:t>Argument Evaluation</w:t>
      </w:r>
    </w:p>
    <w:p w:rsidR="00613759" w:rsidRDefault="00613759" w:rsidP="00745780">
      <w:pPr>
        <w:jc w:val="left"/>
        <w:rPr>
          <w:rFonts w:cs="Arial"/>
          <w:b/>
          <w:sz w:val="28"/>
          <w:szCs w:val="28"/>
          <w:u w:val="single"/>
        </w:rPr>
      </w:pPr>
    </w:p>
    <w:p w:rsidR="00613759" w:rsidRDefault="007611D0" w:rsidP="00745780">
      <w:pPr>
        <w:jc w:val="left"/>
        <w:rPr>
          <w:rFonts w:cs="Arial"/>
          <w:sz w:val="28"/>
          <w:szCs w:val="28"/>
        </w:rPr>
      </w:pPr>
      <w:r>
        <w:rPr>
          <w:rFonts w:cs="Arial"/>
          <w:sz w:val="28"/>
          <w:szCs w:val="28"/>
        </w:rPr>
        <w:t xml:space="preserve">This is the final speaking component of the Clash of Interpretations.  Each speaker should use it to evaluate the strength of the clashing interpretations, favoring its </w:t>
      </w:r>
      <w:r w:rsidR="00D57F30">
        <w:rPr>
          <w:rFonts w:cs="Arial"/>
          <w:sz w:val="28"/>
          <w:szCs w:val="28"/>
        </w:rPr>
        <w:t xml:space="preserve">position in the end.  Evaluation should be done by both addressing the other groups’ contentions, as developed through counter-argument and rebuttal, as well as through the extension of the speaker’s own original contentions, again weighing arguments on both sides and explaining why at least one of the original contentions </w:t>
      </w:r>
      <w:r w:rsidR="00F25246">
        <w:rPr>
          <w:rFonts w:cs="Arial"/>
          <w:sz w:val="28"/>
          <w:szCs w:val="28"/>
        </w:rPr>
        <w:t xml:space="preserve">sustains its compelling force.   The Clash of Interpretations flow sheet has two columns for </w:t>
      </w:r>
      <w:r w:rsidR="00F25246">
        <w:rPr>
          <w:rFonts w:cs="Arial"/>
          <w:sz w:val="28"/>
          <w:szCs w:val="28"/>
        </w:rPr>
        <w:lastRenderedPageBreak/>
        <w:t xml:space="preserve">argument evaluation: one for speakers’ final thinking and weighing of other teams’ contentions and one for each speaker’s final thinking and weighing of their own contentions.  </w:t>
      </w:r>
    </w:p>
    <w:p w:rsidR="00F25246" w:rsidRPr="00613759" w:rsidRDefault="00F25246" w:rsidP="00745780">
      <w:pPr>
        <w:jc w:val="left"/>
        <w:rPr>
          <w:rFonts w:cs="Arial"/>
          <w:sz w:val="28"/>
          <w:szCs w:val="28"/>
        </w:rPr>
      </w:pPr>
      <w:r>
        <w:rPr>
          <w:rFonts w:cs="Arial"/>
          <w:sz w:val="28"/>
          <w:szCs w:val="28"/>
        </w:rPr>
        <w:br/>
        <w:t xml:space="preserve">Criteria for effective argument evaluation prominently include fully accounting for all of the salient points made on both sides, an evidence-based comparison, and </w:t>
      </w:r>
      <w:r w:rsidR="00E07C7C">
        <w:rPr>
          <w:rFonts w:cs="Arial"/>
          <w:sz w:val="28"/>
          <w:szCs w:val="28"/>
        </w:rPr>
        <w:t xml:space="preserve">achieving argumentative closure.  </w:t>
      </w:r>
    </w:p>
    <w:sectPr w:rsidR="00F25246" w:rsidRPr="00613759" w:rsidSect="003F7A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0AC" w:rsidRDefault="00F030AC" w:rsidP="00542C8A">
      <w:r>
        <w:separator/>
      </w:r>
    </w:p>
  </w:endnote>
  <w:endnote w:type="continuationSeparator" w:id="0">
    <w:p w:rsidR="00F030AC" w:rsidRDefault="00F030AC"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0AC" w:rsidRDefault="00F030AC" w:rsidP="00542C8A">
      <w:r>
        <w:separator/>
      </w:r>
    </w:p>
  </w:footnote>
  <w:footnote w:type="continuationSeparator" w:id="0">
    <w:p w:rsidR="00F030AC" w:rsidRDefault="00F030AC" w:rsidP="0054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8A" w:rsidRDefault="00C93D9E"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2"/>
  </w:num>
  <w:num w:numId="6">
    <w:abstractNumId w:val="4"/>
  </w:num>
  <w:num w:numId="7">
    <w:abstractNumId w:val="1"/>
  </w:num>
  <w:num w:numId="8">
    <w:abstractNumId w:val="9"/>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22049"/>
    <w:rsid w:val="00041556"/>
    <w:rsid w:val="000628DD"/>
    <w:rsid w:val="00066DB9"/>
    <w:rsid w:val="00076CDC"/>
    <w:rsid w:val="0008436B"/>
    <w:rsid w:val="000942EC"/>
    <w:rsid w:val="000A5BD1"/>
    <w:rsid w:val="000A7E02"/>
    <w:rsid w:val="000B58A1"/>
    <w:rsid w:val="000B6555"/>
    <w:rsid w:val="000B77D5"/>
    <w:rsid w:val="000C2620"/>
    <w:rsid w:val="000E7CF7"/>
    <w:rsid w:val="000F1954"/>
    <w:rsid w:val="00102C59"/>
    <w:rsid w:val="00116021"/>
    <w:rsid w:val="001225D7"/>
    <w:rsid w:val="00124068"/>
    <w:rsid w:val="00133707"/>
    <w:rsid w:val="00134258"/>
    <w:rsid w:val="001370F9"/>
    <w:rsid w:val="00145C2A"/>
    <w:rsid w:val="00145D5B"/>
    <w:rsid w:val="0015692C"/>
    <w:rsid w:val="00157CB1"/>
    <w:rsid w:val="00177877"/>
    <w:rsid w:val="001828A9"/>
    <w:rsid w:val="00182FC4"/>
    <w:rsid w:val="001937E4"/>
    <w:rsid w:val="001A199E"/>
    <w:rsid w:val="001A1EBE"/>
    <w:rsid w:val="001B051D"/>
    <w:rsid w:val="001C5170"/>
    <w:rsid w:val="001C5C3D"/>
    <w:rsid w:val="001D0B0C"/>
    <w:rsid w:val="001D720A"/>
    <w:rsid w:val="001D7907"/>
    <w:rsid w:val="001E4606"/>
    <w:rsid w:val="001F075A"/>
    <w:rsid w:val="001F41C8"/>
    <w:rsid w:val="002034D0"/>
    <w:rsid w:val="00206804"/>
    <w:rsid w:val="00210690"/>
    <w:rsid w:val="00230552"/>
    <w:rsid w:val="00233017"/>
    <w:rsid w:val="00235B4C"/>
    <w:rsid w:val="00256871"/>
    <w:rsid w:val="00263E3F"/>
    <w:rsid w:val="00274A4E"/>
    <w:rsid w:val="00280EAB"/>
    <w:rsid w:val="002B0A7B"/>
    <w:rsid w:val="002B14A3"/>
    <w:rsid w:val="002B460F"/>
    <w:rsid w:val="002C14DB"/>
    <w:rsid w:val="002D0ABF"/>
    <w:rsid w:val="002D65DB"/>
    <w:rsid w:val="00325667"/>
    <w:rsid w:val="003300DE"/>
    <w:rsid w:val="0033226E"/>
    <w:rsid w:val="00333477"/>
    <w:rsid w:val="003360FD"/>
    <w:rsid w:val="00342D91"/>
    <w:rsid w:val="00354F26"/>
    <w:rsid w:val="0038223A"/>
    <w:rsid w:val="00390957"/>
    <w:rsid w:val="0039118E"/>
    <w:rsid w:val="00392BA7"/>
    <w:rsid w:val="00394644"/>
    <w:rsid w:val="003A1EBF"/>
    <w:rsid w:val="003B0E6C"/>
    <w:rsid w:val="003B3586"/>
    <w:rsid w:val="003B4168"/>
    <w:rsid w:val="003B7892"/>
    <w:rsid w:val="003D55EF"/>
    <w:rsid w:val="003F3A9A"/>
    <w:rsid w:val="003F470E"/>
    <w:rsid w:val="003F7AD0"/>
    <w:rsid w:val="003F7B46"/>
    <w:rsid w:val="00403DCE"/>
    <w:rsid w:val="00411E09"/>
    <w:rsid w:val="00435D62"/>
    <w:rsid w:val="00436DC2"/>
    <w:rsid w:val="004521BB"/>
    <w:rsid w:val="00455437"/>
    <w:rsid w:val="0048129A"/>
    <w:rsid w:val="00484994"/>
    <w:rsid w:val="004C57BE"/>
    <w:rsid w:val="004C5FE5"/>
    <w:rsid w:val="004C7A38"/>
    <w:rsid w:val="004F3161"/>
    <w:rsid w:val="00500C16"/>
    <w:rsid w:val="00507AE0"/>
    <w:rsid w:val="00510BBA"/>
    <w:rsid w:val="00542C8A"/>
    <w:rsid w:val="00542F5C"/>
    <w:rsid w:val="0055545F"/>
    <w:rsid w:val="005C6924"/>
    <w:rsid w:val="005F5BB4"/>
    <w:rsid w:val="006104ED"/>
    <w:rsid w:val="00613759"/>
    <w:rsid w:val="00615729"/>
    <w:rsid w:val="006238DC"/>
    <w:rsid w:val="0062744E"/>
    <w:rsid w:val="0064083F"/>
    <w:rsid w:val="00640DB8"/>
    <w:rsid w:val="00641F78"/>
    <w:rsid w:val="00644E70"/>
    <w:rsid w:val="00683711"/>
    <w:rsid w:val="00687844"/>
    <w:rsid w:val="00693874"/>
    <w:rsid w:val="00697D4E"/>
    <w:rsid w:val="006A04B8"/>
    <w:rsid w:val="006C2457"/>
    <w:rsid w:val="006C2D68"/>
    <w:rsid w:val="006C5E4F"/>
    <w:rsid w:val="006D22D3"/>
    <w:rsid w:val="006F1312"/>
    <w:rsid w:val="007076C0"/>
    <w:rsid w:val="00742933"/>
    <w:rsid w:val="00745780"/>
    <w:rsid w:val="007611D0"/>
    <w:rsid w:val="00761478"/>
    <w:rsid w:val="00765AB2"/>
    <w:rsid w:val="00772996"/>
    <w:rsid w:val="00790E1E"/>
    <w:rsid w:val="007C05F3"/>
    <w:rsid w:val="007C39F4"/>
    <w:rsid w:val="007C6304"/>
    <w:rsid w:val="007D73EF"/>
    <w:rsid w:val="00810864"/>
    <w:rsid w:val="008327B6"/>
    <w:rsid w:val="00833DE6"/>
    <w:rsid w:val="00842512"/>
    <w:rsid w:val="00871610"/>
    <w:rsid w:val="00883189"/>
    <w:rsid w:val="008B6E42"/>
    <w:rsid w:val="008D1F44"/>
    <w:rsid w:val="008F68B1"/>
    <w:rsid w:val="0092116D"/>
    <w:rsid w:val="009265DD"/>
    <w:rsid w:val="00937107"/>
    <w:rsid w:val="009455C7"/>
    <w:rsid w:val="00955218"/>
    <w:rsid w:val="009633C3"/>
    <w:rsid w:val="00977CE7"/>
    <w:rsid w:val="00977F98"/>
    <w:rsid w:val="0098149F"/>
    <w:rsid w:val="009B5528"/>
    <w:rsid w:val="009C0A26"/>
    <w:rsid w:val="009D14CB"/>
    <w:rsid w:val="009E0FDB"/>
    <w:rsid w:val="009F35DC"/>
    <w:rsid w:val="009F63FA"/>
    <w:rsid w:val="00A01A39"/>
    <w:rsid w:val="00A11ED1"/>
    <w:rsid w:val="00A23DB7"/>
    <w:rsid w:val="00A25D66"/>
    <w:rsid w:val="00A26D16"/>
    <w:rsid w:val="00A31075"/>
    <w:rsid w:val="00A3147E"/>
    <w:rsid w:val="00A43608"/>
    <w:rsid w:val="00A45AE4"/>
    <w:rsid w:val="00A619ED"/>
    <w:rsid w:val="00A65E68"/>
    <w:rsid w:val="00A67B88"/>
    <w:rsid w:val="00A729E3"/>
    <w:rsid w:val="00A80A51"/>
    <w:rsid w:val="00A814ED"/>
    <w:rsid w:val="00AB1F9D"/>
    <w:rsid w:val="00AB2604"/>
    <w:rsid w:val="00AB2E3C"/>
    <w:rsid w:val="00AB4B58"/>
    <w:rsid w:val="00AC4F50"/>
    <w:rsid w:val="00AD6A6F"/>
    <w:rsid w:val="00AE5F7C"/>
    <w:rsid w:val="00AE64A6"/>
    <w:rsid w:val="00AF6099"/>
    <w:rsid w:val="00B055E7"/>
    <w:rsid w:val="00B104F3"/>
    <w:rsid w:val="00B21FDA"/>
    <w:rsid w:val="00B23C55"/>
    <w:rsid w:val="00B24C30"/>
    <w:rsid w:val="00B335D7"/>
    <w:rsid w:val="00B50AC6"/>
    <w:rsid w:val="00B51F7C"/>
    <w:rsid w:val="00B61A6E"/>
    <w:rsid w:val="00B832C2"/>
    <w:rsid w:val="00B94DDF"/>
    <w:rsid w:val="00B9502E"/>
    <w:rsid w:val="00B95752"/>
    <w:rsid w:val="00B96F9A"/>
    <w:rsid w:val="00BA0CC8"/>
    <w:rsid w:val="00BB7A0F"/>
    <w:rsid w:val="00BD1FB8"/>
    <w:rsid w:val="00BD7D5D"/>
    <w:rsid w:val="00C000B3"/>
    <w:rsid w:val="00C1145E"/>
    <w:rsid w:val="00C132E2"/>
    <w:rsid w:val="00C24AD1"/>
    <w:rsid w:val="00C2541A"/>
    <w:rsid w:val="00C52075"/>
    <w:rsid w:val="00C727A1"/>
    <w:rsid w:val="00C7291D"/>
    <w:rsid w:val="00C74FDA"/>
    <w:rsid w:val="00C80E0A"/>
    <w:rsid w:val="00C87510"/>
    <w:rsid w:val="00C92210"/>
    <w:rsid w:val="00C93D9E"/>
    <w:rsid w:val="00CE72A1"/>
    <w:rsid w:val="00CF5B65"/>
    <w:rsid w:val="00D056FC"/>
    <w:rsid w:val="00D05A10"/>
    <w:rsid w:val="00D066B9"/>
    <w:rsid w:val="00D133C5"/>
    <w:rsid w:val="00D137EF"/>
    <w:rsid w:val="00D155B7"/>
    <w:rsid w:val="00D17DD3"/>
    <w:rsid w:val="00D35695"/>
    <w:rsid w:val="00D42520"/>
    <w:rsid w:val="00D57F30"/>
    <w:rsid w:val="00D622BF"/>
    <w:rsid w:val="00D6697B"/>
    <w:rsid w:val="00D830F4"/>
    <w:rsid w:val="00D91994"/>
    <w:rsid w:val="00D96B1A"/>
    <w:rsid w:val="00DA2C52"/>
    <w:rsid w:val="00DB59F2"/>
    <w:rsid w:val="00DB708B"/>
    <w:rsid w:val="00DC5792"/>
    <w:rsid w:val="00DD48C4"/>
    <w:rsid w:val="00DF0E65"/>
    <w:rsid w:val="00DF13A6"/>
    <w:rsid w:val="00E02EDC"/>
    <w:rsid w:val="00E058DC"/>
    <w:rsid w:val="00E07C7C"/>
    <w:rsid w:val="00E17D05"/>
    <w:rsid w:val="00E20FD2"/>
    <w:rsid w:val="00E4497A"/>
    <w:rsid w:val="00E46A27"/>
    <w:rsid w:val="00E52948"/>
    <w:rsid w:val="00E664FF"/>
    <w:rsid w:val="00E67311"/>
    <w:rsid w:val="00E74DFF"/>
    <w:rsid w:val="00E8323C"/>
    <w:rsid w:val="00E9304A"/>
    <w:rsid w:val="00E93C58"/>
    <w:rsid w:val="00EB571C"/>
    <w:rsid w:val="00ED6423"/>
    <w:rsid w:val="00EE3563"/>
    <w:rsid w:val="00EF2797"/>
    <w:rsid w:val="00F030AC"/>
    <w:rsid w:val="00F10146"/>
    <w:rsid w:val="00F1708B"/>
    <w:rsid w:val="00F25246"/>
    <w:rsid w:val="00F35874"/>
    <w:rsid w:val="00F3732A"/>
    <w:rsid w:val="00F54510"/>
    <w:rsid w:val="00F737C0"/>
    <w:rsid w:val="00F73906"/>
    <w:rsid w:val="00F770B9"/>
    <w:rsid w:val="00F7710F"/>
    <w:rsid w:val="00F83E6C"/>
    <w:rsid w:val="00FA1DF8"/>
    <w:rsid w:val="00FA5EFD"/>
    <w:rsid w:val="00FB145D"/>
    <w:rsid w:val="00FC7262"/>
    <w:rsid w:val="00FD7678"/>
    <w:rsid w:val="00FE1F8A"/>
    <w:rsid w:val="00FE5955"/>
    <w:rsid w:val="00FE6A92"/>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0FEFB-0DAD-40ED-8A1D-FC7A949C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8430">
      <w:bodyDiv w:val="1"/>
      <w:marLeft w:val="0"/>
      <w:marRight w:val="0"/>
      <w:marTop w:val="0"/>
      <w:marBottom w:val="0"/>
      <w:divBdr>
        <w:top w:val="none" w:sz="0" w:space="0" w:color="auto"/>
        <w:left w:val="none" w:sz="0" w:space="0" w:color="auto"/>
        <w:bottom w:val="none" w:sz="0" w:space="0" w:color="auto"/>
        <w:right w:val="none" w:sz="0" w:space="0" w:color="auto"/>
      </w:divBdr>
      <w:divsChild>
        <w:div w:id="37199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340265">
      <w:bodyDiv w:val="1"/>
      <w:marLeft w:val="0"/>
      <w:marRight w:val="0"/>
      <w:marTop w:val="0"/>
      <w:marBottom w:val="0"/>
      <w:divBdr>
        <w:top w:val="none" w:sz="0" w:space="0" w:color="auto"/>
        <w:left w:val="none" w:sz="0" w:space="0" w:color="auto"/>
        <w:bottom w:val="none" w:sz="0" w:space="0" w:color="auto"/>
        <w:right w:val="none" w:sz="0" w:space="0" w:color="auto"/>
      </w:divBdr>
      <w:divsChild>
        <w:div w:id="5046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0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504205109">
      <w:bodyDiv w:val="1"/>
      <w:marLeft w:val="0"/>
      <w:marRight w:val="0"/>
      <w:marTop w:val="0"/>
      <w:marBottom w:val="0"/>
      <w:divBdr>
        <w:top w:val="none" w:sz="0" w:space="0" w:color="auto"/>
        <w:left w:val="none" w:sz="0" w:space="0" w:color="auto"/>
        <w:bottom w:val="none" w:sz="0" w:space="0" w:color="auto"/>
        <w:right w:val="none" w:sz="0" w:space="0" w:color="auto"/>
      </w:divBdr>
      <w:divsChild>
        <w:div w:id="32423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9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0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54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9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206133">
      <w:bodyDiv w:val="1"/>
      <w:marLeft w:val="0"/>
      <w:marRight w:val="0"/>
      <w:marTop w:val="0"/>
      <w:marBottom w:val="0"/>
      <w:divBdr>
        <w:top w:val="none" w:sz="0" w:space="0" w:color="auto"/>
        <w:left w:val="none" w:sz="0" w:space="0" w:color="auto"/>
        <w:bottom w:val="none" w:sz="0" w:space="0" w:color="auto"/>
        <w:right w:val="none" w:sz="0" w:space="0" w:color="auto"/>
      </w:divBdr>
    </w:div>
    <w:div w:id="2024940398">
      <w:bodyDiv w:val="1"/>
      <w:marLeft w:val="0"/>
      <w:marRight w:val="0"/>
      <w:marTop w:val="0"/>
      <w:marBottom w:val="0"/>
      <w:divBdr>
        <w:top w:val="none" w:sz="0" w:space="0" w:color="auto"/>
        <w:left w:val="none" w:sz="0" w:space="0" w:color="auto"/>
        <w:bottom w:val="none" w:sz="0" w:space="0" w:color="auto"/>
        <w:right w:val="none" w:sz="0" w:space="0" w:color="auto"/>
      </w:divBdr>
      <w:divsChild>
        <w:div w:id="93089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55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Owner</cp:lastModifiedBy>
  <cp:revision>2</cp:revision>
  <cp:lastPrinted>2014-11-18T02:30:00Z</cp:lastPrinted>
  <dcterms:created xsi:type="dcterms:W3CDTF">2015-07-16T16:34:00Z</dcterms:created>
  <dcterms:modified xsi:type="dcterms:W3CDTF">2015-07-16T16:34:00Z</dcterms:modified>
</cp:coreProperties>
</file>