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AB7866">
      <w:pPr>
        <w:pStyle w:val="Heading1"/>
        <w:rPr>
          <w:sz w:val="16"/>
          <w:szCs w:val="16"/>
        </w:rPr>
      </w:pPr>
    </w:p>
    <w:p w:rsidR="00923300" w:rsidRDefault="00AE51E8" w:rsidP="00AB7866">
      <w:pPr>
        <w:spacing w:after="0" w:line="240" w:lineRule="auto"/>
        <w:jc w:val="center"/>
        <w:rPr>
          <w:rFonts w:ascii="Garamond" w:hAnsi="Garamond"/>
          <w:b/>
          <w:sz w:val="48"/>
          <w:szCs w:val="48"/>
        </w:rPr>
      </w:pPr>
      <w:r>
        <w:rPr>
          <w:noProof/>
        </w:rPr>
        <w:drawing>
          <wp:inline distT="0" distB="0" distL="0" distR="0">
            <wp:extent cx="2598420" cy="1671584"/>
            <wp:effectExtent l="0" t="0" r="0" b="5080"/>
            <wp:docPr id="2" name="Picture 2" descr="C:\Users\Owner\AppData\Local\Microsoft\Windows\INetCache\Content.Word\ClaudetteColv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laudetteColvin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7243" cy="1683693"/>
                    </a:xfrm>
                    <a:prstGeom prst="rect">
                      <a:avLst/>
                    </a:prstGeom>
                    <a:noFill/>
                    <a:ln>
                      <a:noFill/>
                    </a:ln>
                  </pic:spPr>
                </pic:pic>
              </a:graphicData>
            </a:graphic>
          </wp:inline>
        </w:drawing>
      </w:r>
    </w:p>
    <w:p w:rsidR="00786257" w:rsidRPr="00AE51E8" w:rsidRDefault="00AE51E8" w:rsidP="00AB7866">
      <w:pPr>
        <w:spacing w:after="0" w:line="240" w:lineRule="auto"/>
        <w:jc w:val="center"/>
        <w:rPr>
          <w:rFonts w:ascii="Garamond" w:hAnsi="Garamond"/>
          <w:b/>
          <w:sz w:val="48"/>
          <w:szCs w:val="48"/>
        </w:rPr>
      </w:pPr>
      <w:r>
        <w:rPr>
          <w:rFonts w:ascii="Garamond" w:hAnsi="Garamond"/>
          <w:b/>
          <w:i/>
          <w:sz w:val="48"/>
          <w:szCs w:val="48"/>
        </w:rPr>
        <w:t xml:space="preserve">Claudette Colvin: Twice Toward Justice </w:t>
      </w:r>
      <w:r>
        <w:rPr>
          <w:rFonts w:ascii="Garamond" w:hAnsi="Garamond"/>
          <w:b/>
          <w:sz w:val="48"/>
          <w:szCs w:val="48"/>
        </w:rPr>
        <w:t>(2009)</w:t>
      </w:r>
    </w:p>
    <w:p w:rsidR="00923300" w:rsidRPr="004A4B8C" w:rsidRDefault="0002490D" w:rsidP="00AB7866">
      <w:pPr>
        <w:spacing w:after="0" w:line="240" w:lineRule="auto"/>
        <w:jc w:val="center"/>
        <w:rPr>
          <w:rFonts w:ascii="Garamond" w:hAnsi="Garamond"/>
          <w:b/>
          <w:sz w:val="48"/>
          <w:szCs w:val="48"/>
        </w:rPr>
      </w:pPr>
      <w:r>
        <w:rPr>
          <w:rFonts w:ascii="Garamond" w:hAnsi="Garamond"/>
          <w:b/>
          <w:sz w:val="48"/>
          <w:szCs w:val="48"/>
        </w:rPr>
        <w:t>Selected Events and Incidents</w:t>
      </w:r>
    </w:p>
    <w:p w:rsidR="00AE51E8" w:rsidRDefault="00692BF6" w:rsidP="00AE51E8">
      <w:pPr>
        <w:spacing w:after="0" w:line="240" w:lineRule="auto"/>
        <w:ind w:left="720" w:hanging="720"/>
        <w:rPr>
          <w:rFonts w:ascii="Garamond" w:hAnsi="Garamond"/>
          <w:sz w:val="28"/>
          <w:szCs w:val="28"/>
        </w:rPr>
      </w:pPr>
      <w:r>
        <w:rPr>
          <w:rFonts w:ascii="Garamond" w:hAnsi="Garamond"/>
          <w:sz w:val="28"/>
          <w:szCs w:val="28"/>
        </w:rPr>
        <w:t xml:space="preserve"> </w:t>
      </w:r>
    </w:p>
    <w:p w:rsidR="00ED6EF0" w:rsidRDefault="00ED6EF0" w:rsidP="00AB7866">
      <w:pPr>
        <w:spacing w:after="0"/>
        <w:rPr>
          <w:rFonts w:ascii="Garamond" w:hAnsi="Garamond"/>
          <w:sz w:val="28"/>
          <w:szCs w:val="28"/>
        </w:rPr>
      </w:pPr>
      <w:bookmarkStart w:id="0" w:name="_GoBack"/>
      <w:bookmarkEnd w:id="0"/>
    </w:p>
    <w:p w:rsidR="00D65400" w:rsidRDefault="00D65400" w:rsidP="00AB7866">
      <w:pPr>
        <w:spacing w:after="0"/>
        <w:rPr>
          <w:rFonts w:ascii="Garamond" w:hAnsi="Garamond"/>
          <w:sz w:val="28"/>
          <w:szCs w:val="28"/>
        </w:rPr>
      </w:pPr>
      <w:r>
        <w:rPr>
          <w:rFonts w:ascii="Garamond" w:hAnsi="Garamond"/>
          <w:sz w:val="28"/>
          <w:szCs w:val="28"/>
        </w:rPr>
        <w:t xml:space="preserve">This is a set of events and incidents from </w:t>
      </w:r>
      <w:r>
        <w:rPr>
          <w:rFonts w:ascii="Garamond" w:hAnsi="Garamond"/>
          <w:i/>
          <w:sz w:val="28"/>
          <w:szCs w:val="28"/>
        </w:rPr>
        <w:t>Twice Toward Justice</w:t>
      </w:r>
      <w:r>
        <w:rPr>
          <w:rFonts w:ascii="Garamond" w:hAnsi="Garamond"/>
          <w:sz w:val="28"/>
          <w:szCs w:val="28"/>
        </w:rPr>
        <w:t xml:space="preserve"> that can be used by troupes to guide their choice of what to write about in their scripts of dramatic interpretation of the book.  Troupes are not limited to this set of events and incidents; they can choose their own events or incidents to write about, too.  </w:t>
      </w:r>
    </w:p>
    <w:p w:rsidR="00D65400" w:rsidRDefault="00D65400" w:rsidP="00AB7866">
      <w:pPr>
        <w:spacing w:after="0"/>
        <w:rPr>
          <w:rFonts w:ascii="Garamond" w:hAnsi="Garamond"/>
          <w:sz w:val="28"/>
          <w:szCs w:val="28"/>
        </w:rPr>
      </w:pPr>
    </w:p>
    <w:p w:rsidR="00D65400" w:rsidRDefault="00D65400" w:rsidP="00AB7866">
      <w:pPr>
        <w:spacing w:after="0"/>
        <w:rPr>
          <w:rFonts w:ascii="Garamond" w:hAnsi="Garamond"/>
          <w:b/>
          <w:sz w:val="28"/>
          <w:szCs w:val="28"/>
          <w:u w:val="single"/>
        </w:rPr>
      </w:pPr>
      <w:r>
        <w:rPr>
          <w:rFonts w:ascii="Garamond" w:hAnsi="Garamond"/>
          <w:sz w:val="28"/>
          <w:szCs w:val="28"/>
        </w:rPr>
        <w:tab/>
      </w:r>
      <w:r>
        <w:rPr>
          <w:rFonts w:ascii="Garamond" w:hAnsi="Garamond"/>
          <w:b/>
          <w:sz w:val="28"/>
          <w:szCs w:val="28"/>
          <w:u w:val="single"/>
        </w:rPr>
        <w:t>Claudette’s early childhood in Pine Level, Alabama</w:t>
      </w:r>
    </w:p>
    <w:p w:rsidR="00D65400" w:rsidRDefault="00D65400" w:rsidP="00AB7866">
      <w:pPr>
        <w:spacing w:after="0"/>
        <w:rPr>
          <w:rFonts w:ascii="Garamond" w:hAnsi="Garamond"/>
          <w:sz w:val="28"/>
          <w:szCs w:val="28"/>
        </w:rPr>
      </w:pPr>
      <w:r>
        <w:rPr>
          <w:rFonts w:ascii="Garamond" w:hAnsi="Garamond"/>
          <w:sz w:val="28"/>
          <w:szCs w:val="28"/>
        </w:rPr>
        <w:tab/>
        <w:t>(pp. 12 – 15)</w:t>
      </w:r>
    </w:p>
    <w:p w:rsidR="00D65400" w:rsidRDefault="00D65400" w:rsidP="00AB7866">
      <w:pPr>
        <w:spacing w:after="0"/>
        <w:rPr>
          <w:rFonts w:ascii="Garamond" w:hAnsi="Garamond"/>
          <w:sz w:val="28"/>
          <w:szCs w:val="28"/>
        </w:rPr>
      </w:pPr>
    </w:p>
    <w:p w:rsidR="00D65400" w:rsidRDefault="00D65400" w:rsidP="00D65400">
      <w:pPr>
        <w:spacing w:after="0"/>
        <w:ind w:firstLine="720"/>
        <w:rPr>
          <w:rFonts w:ascii="Garamond" w:hAnsi="Garamond"/>
          <w:b/>
          <w:sz w:val="28"/>
          <w:szCs w:val="28"/>
          <w:u w:val="single"/>
        </w:rPr>
      </w:pPr>
      <w:r w:rsidRPr="00D65400">
        <w:rPr>
          <w:rFonts w:ascii="Garamond" w:hAnsi="Garamond"/>
          <w:b/>
          <w:sz w:val="28"/>
          <w:szCs w:val="28"/>
          <w:u w:val="single"/>
        </w:rPr>
        <w:t>Internalized racism expressed at Booker T. Washington High School in Montgomery</w:t>
      </w:r>
    </w:p>
    <w:p w:rsidR="00D65400" w:rsidRDefault="00D65400" w:rsidP="00D65400">
      <w:pPr>
        <w:spacing w:after="0"/>
        <w:ind w:firstLine="720"/>
        <w:rPr>
          <w:rFonts w:ascii="Garamond" w:hAnsi="Garamond"/>
          <w:sz w:val="28"/>
          <w:szCs w:val="28"/>
        </w:rPr>
      </w:pPr>
      <w:r>
        <w:rPr>
          <w:rFonts w:ascii="Garamond" w:hAnsi="Garamond"/>
          <w:sz w:val="28"/>
          <w:szCs w:val="28"/>
        </w:rPr>
        <w:t>(pp.22-23)</w:t>
      </w:r>
    </w:p>
    <w:p w:rsidR="00D65400" w:rsidRDefault="00D65400" w:rsidP="00D65400">
      <w:pPr>
        <w:spacing w:after="0"/>
        <w:ind w:firstLine="720"/>
        <w:rPr>
          <w:rFonts w:ascii="Garamond" w:hAnsi="Garamond"/>
          <w:sz w:val="28"/>
          <w:szCs w:val="28"/>
        </w:rPr>
      </w:pPr>
    </w:p>
    <w:p w:rsidR="00D65400" w:rsidRDefault="00D65400" w:rsidP="00D65400">
      <w:pPr>
        <w:spacing w:after="0"/>
        <w:ind w:firstLine="720"/>
        <w:rPr>
          <w:rFonts w:ascii="Garamond" w:hAnsi="Garamond"/>
          <w:b/>
          <w:sz w:val="28"/>
          <w:szCs w:val="28"/>
          <w:u w:val="single"/>
        </w:rPr>
      </w:pPr>
      <w:r>
        <w:rPr>
          <w:rFonts w:ascii="Garamond" w:hAnsi="Garamond"/>
          <w:b/>
          <w:sz w:val="28"/>
          <w:szCs w:val="28"/>
          <w:u w:val="single"/>
        </w:rPr>
        <w:t>Jeremiah Reeves’ arrest and conviction</w:t>
      </w:r>
    </w:p>
    <w:p w:rsidR="00D65400" w:rsidRDefault="00D65400" w:rsidP="00D65400">
      <w:pPr>
        <w:spacing w:after="0"/>
        <w:ind w:firstLine="720"/>
        <w:rPr>
          <w:rFonts w:ascii="Garamond" w:hAnsi="Garamond"/>
          <w:sz w:val="28"/>
          <w:szCs w:val="28"/>
        </w:rPr>
      </w:pPr>
      <w:r>
        <w:rPr>
          <w:rFonts w:ascii="Garamond" w:hAnsi="Garamond"/>
          <w:sz w:val="28"/>
          <w:szCs w:val="28"/>
        </w:rPr>
        <w:t>(pp.23 – 26)</w:t>
      </w:r>
    </w:p>
    <w:p w:rsidR="00D65400" w:rsidRDefault="00D65400" w:rsidP="00D65400">
      <w:pPr>
        <w:spacing w:after="0"/>
        <w:ind w:firstLine="720"/>
        <w:rPr>
          <w:rFonts w:ascii="Garamond" w:hAnsi="Garamond"/>
          <w:sz w:val="28"/>
          <w:szCs w:val="28"/>
        </w:rPr>
      </w:pPr>
    </w:p>
    <w:p w:rsidR="00D65400" w:rsidRDefault="00D65400" w:rsidP="00D65400">
      <w:pPr>
        <w:spacing w:after="0"/>
        <w:ind w:firstLine="720"/>
        <w:rPr>
          <w:rFonts w:ascii="Garamond" w:hAnsi="Garamond"/>
          <w:b/>
          <w:sz w:val="28"/>
          <w:szCs w:val="28"/>
          <w:u w:val="single"/>
        </w:rPr>
      </w:pPr>
      <w:r>
        <w:rPr>
          <w:rFonts w:ascii="Garamond" w:hAnsi="Garamond"/>
          <w:b/>
          <w:sz w:val="28"/>
          <w:szCs w:val="28"/>
          <w:u w:val="single"/>
        </w:rPr>
        <w:t>Geraldine Nesbitt’s consciousness-raising teaching</w:t>
      </w:r>
    </w:p>
    <w:p w:rsidR="00D65400" w:rsidRDefault="00D65400" w:rsidP="00D65400">
      <w:pPr>
        <w:spacing w:after="0"/>
        <w:ind w:firstLine="720"/>
        <w:rPr>
          <w:rFonts w:ascii="Garamond" w:hAnsi="Garamond"/>
          <w:sz w:val="28"/>
          <w:szCs w:val="28"/>
        </w:rPr>
      </w:pPr>
      <w:r>
        <w:rPr>
          <w:rFonts w:ascii="Garamond" w:hAnsi="Garamond"/>
          <w:sz w:val="28"/>
          <w:szCs w:val="28"/>
        </w:rPr>
        <w:t>(pp. 26 – 29)</w:t>
      </w:r>
    </w:p>
    <w:p w:rsidR="00D65400" w:rsidRDefault="00D65400" w:rsidP="00D65400">
      <w:pPr>
        <w:spacing w:after="0"/>
        <w:ind w:firstLine="720"/>
        <w:rPr>
          <w:rFonts w:ascii="Garamond" w:hAnsi="Garamond"/>
          <w:sz w:val="28"/>
          <w:szCs w:val="28"/>
        </w:rPr>
      </w:pPr>
    </w:p>
    <w:p w:rsidR="00D65400" w:rsidRDefault="007A2EDC" w:rsidP="00D65400">
      <w:pPr>
        <w:spacing w:after="0"/>
        <w:ind w:firstLine="720"/>
        <w:rPr>
          <w:rFonts w:ascii="Garamond" w:hAnsi="Garamond"/>
          <w:b/>
          <w:sz w:val="28"/>
          <w:szCs w:val="28"/>
          <w:u w:val="single"/>
        </w:rPr>
      </w:pPr>
      <w:r>
        <w:rPr>
          <w:rFonts w:ascii="Garamond" w:hAnsi="Garamond"/>
          <w:b/>
          <w:sz w:val="28"/>
          <w:szCs w:val="28"/>
          <w:u w:val="single"/>
        </w:rPr>
        <w:t>Claudette Colvin’s protest and arrest on a Montgomery bus – March 2, 1955</w:t>
      </w:r>
    </w:p>
    <w:p w:rsidR="007A2EDC" w:rsidRDefault="007A2EDC" w:rsidP="00D65400">
      <w:pPr>
        <w:spacing w:after="0"/>
        <w:ind w:firstLine="720"/>
        <w:rPr>
          <w:rFonts w:ascii="Garamond" w:hAnsi="Garamond"/>
          <w:sz w:val="28"/>
          <w:szCs w:val="28"/>
        </w:rPr>
      </w:pPr>
      <w:r w:rsidRPr="007A2EDC">
        <w:rPr>
          <w:rFonts w:ascii="Garamond" w:hAnsi="Garamond"/>
          <w:sz w:val="28"/>
          <w:szCs w:val="28"/>
        </w:rPr>
        <w:t>(pp. 31 – 37)</w:t>
      </w:r>
    </w:p>
    <w:p w:rsidR="007A2EDC" w:rsidRDefault="007A2EDC" w:rsidP="00D65400">
      <w:pPr>
        <w:spacing w:after="0"/>
        <w:ind w:firstLine="720"/>
        <w:rPr>
          <w:rFonts w:ascii="Garamond" w:hAnsi="Garamond"/>
          <w:sz w:val="28"/>
          <w:szCs w:val="28"/>
        </w:rPr>
      </w:pPr>
    </w:p>
    <w:p w:rsidR="007A2EDC" w:rsidRDefault="003B1DD7" w:rsidP="00D65400">
      <w:pPr>
        <w:spacing w:after="0"/>
        <w:ind w:firstLine="720"/>
        <w:rPr>
          <w:rFonts w:ascii="Garamond" w:hAnsi="Garamond"/>
          <w:b/>
          <w:sz w:val="28"/>
          <w:szCs w:val="28"/>
          <w:u w:val="single"/>
        </w:rPr>
      </w:pPr>
      <w:r>
        <w:rPr>
          <w:rFonts w:ascii="Garamond" w:hAnsi="Garamond"/>
          <w:b/>
          <w:sz w:val="28"/>
          <w:szCs w:val="28"/>
          <w:u w:val="single"/>
        </w:rPr>
        <w:lastRenderedPageBreak/>
        <w:t>The mixed response at Booker T. Washington H.S. to Claudette’s Actions</w:t>
      </w:r>
    </w:p>
    <w:p w:rsidR="003B1DD7" w:rsidRDefault="003B1DD7" w:rsidP="00D65400">
      <w:pPr>
        <w:spacing w:after="0"/>
        <w:ind w:firstLine="720"/>
        <w:rPr>
          <w:rFonts w:ascii="Garamond" w:hAnsi="Garamond"/>
          <w:sz w:val="28"/>
          <w:szCs w:val="28"/>
        </w:rPr>
      </w:pPr>
      <w:r>
        <w:rPr>
          <w:rFonts w:ascii="Garamond" w:hAnsi="Garamond"/>
          <w:sz w:val="28"/>
          <w:szCs w:val="28"/>
        </w:rPr>
        <w:t>(pp. 39 – 42)</w:t>
      </w:r>
    </w:p>
    <w:p w:rsidR="003B1DD7" w:rsidRDefault="003B1DD7" w:rsidP="00D65400">
      <w:pPr>
        <w:spacing w:after="0"/>
        <w:ind w:firstLine="720"/>
        <w:rPr>
          <w:rFonts w:ascii="Garamond" w:hAnsi="Garamond"/>
          <w:sz w:val="28"/>
          <w:szCs w:val="28"/>
        </w:rPr>
      </w:pPr>
    </w:p>
    <w:p w:rsidR="003B1DD7" w:rsidRDefault="003B1DD7" w:rsidP="00D65400">
      <w:pPr>
        <w:spacing w:after="0"/>
        <w:ind w:firstLine="720"/>
        <w:rPr>
          <w:rFonts w:ascii="Garamond" w:hAnsi="Garamond"/>
          <w:b/>
          <w:sz w:val="28"/>
          <w:szCs w:val="28"/>
          <w:u w:val="single"/>
        </w:rPr>
      </w:pPr>
      <w:r>
        <w:rPr>
          <w:rFonts w:ascii="Garamond" w:hAnsi="Garamond"/>
          <w:b/>
          <w:sz w:val="28"/>
          <w:szCs w:val="28"/>
          <w:u w:val="single"/>
        </w:rPr>
        <w:t>The legal response that the NAACP helped mount to defend Claudette</w:t>
      </w:r>
    </w:p>
    <w:p w:rsidR="003B1DD7" w:rsidRDefault="003B1DD7" w:rsidP="00D65400">
      <w:pPr>
        <w:spacing w:after="0"/>
        <w:ind w:firstLine="720"/>
        <w:rPr>
          <w:rFonts w:ascii="Garamond" w:hAnsi="Garamond"/>
          <w:sz w:val="28"/>
          <w:szCs w:val="28"/>
        </w:rPr>
      </w:pPr>
      <w:r>
        <w:rPr>
          <w:rFonts w:ascii="Garamond" w:hAnsi="Garamond"/>
          <w:sz w:val="28"/>
          <w:szCs w:val="28"/>
        </w:rPr>
        <w:t>(pp. 43 – 49)</w:t>
      </w:r>
    </w:p>
    <w:p w:rsidR="003B1DD7" w:rsidRDefault="003B1DD7" w:rsidP="00D65400">
      <w:pPr>
        <w:spacing w:after="0"/>
        <w:ind w:firstLine="720"/>
        <w:rPr>
          <w:rFonts w:ascii="Garamond" w:hAnsi="Garamond"/>
          <w:sz w:val="28"/>
          <w:szCs w:val="28"/>
        </w:rPr>
      </w:pPr>
    </w:p>
    <w:p w:rsidR="003B1DD7" w:rsidRDefault="003B1DD7" w:rsidP="00D65400">
      <w:pPr>
        <w:spacing w:after="0"/>
        <w:ind w:firstLine="720"/>
        <w:rPr>
          <w:rFonts w:ascii="Garamond" w:hAnsi="Garamond"/>
          <w:b/>
          <w:sz w:val="28"/>
          <w:szCs w:val="28"/>
          <w:u w:val="single"/>
        </w:rPr>
      </w:pPr>
      <w:r>
        <w:rPr>
          <w:rFonts w:ascii="Garamond" w:hAnsi="Garamond"/>
          <w:b/>
          <w:sz w:val="28"/>
          <w:szCs w:val="28"/>
          <w:u w:val="single"/>
        </w:rPr>
        <w:t>The NAACP gravitates toward Rosa Parks and away from Claudette</w:t>
      </w:r>
    </w:p>
    <w:p w:rsidR="003B1DD7" w:rsidRDefault="003B1DD7" w:rsidP="00D65400">
      <w:pPr>
        <w:spacing w:after="0"/>
        <w:ind w:firstLine="720"/>
        <w:rPr>
          <w:rFonts w:ascii="Garamond" w:hAnsi="Garamond"/>
          <w:sz w:val="28"/>
          <w:szCs w:val="28"/>
        </w:rPr>
      </w:pPr>
      <w:r>
        <w:rPr>
          <w:rFonts w:ascii="Garamond" w:hAnsi="Garamond"/>
          <w:sz w:val="28"/>
          <w:szCs w:val="28"/>
        </w:rPr>
        <w:t>(pp. 52 – 58)</w:t>
      </w:r>
    </w:p>
    <w:p w:rsidR="003B1DD7" w:rsidRDefault="003B1DD7" w:rsidP="00D65400">
      <w:pPr>
        <w:spacing w:after="0"/>
        <w:ind w:firstLine="720"/>
        <w:rPr>
          <w:rFonts w:ascii="Garamond" w:hAnsi="Garamond"/>
          <w:sz w:val="28"/>
          <w:szCs w:val="28"/>
        </w:rPr>
      </w:pPr>
    </w:p>
    <w:p w:rsidR="003B1DD7" w:rsidRDefault="003B1DD7" w:rsidP="00D65400">
      <w:pPr>
        <w:spacing w:after="0"/>
        <w:ind w:firstLine="720"/>
        <w:rPr>
          <w:rFonts w:ascii="Garamond" w:hAnsi="Garamond"/>
          <w:b/>
          <w:sz w:val="28"/>
          <w:szCs w:val="28"/>
          <w:u w:val="single"/>
        </w:rPr>
      </w:pPr>
      <w:r>
        <w:rPr>
          <w:rFonts w:ascii="Garamond" w:hAnsi="Garamond"/>
          <w:b/>
          <w:sz w:val="28"/>
          <w:szCs w:val="28"/>
          <w:u w:val="single"/>
        </w:rPr>
        <w:t>Mary Louise Smith protests bus segregation in Montgomery</w:t>
      </w:r>
    </w:p>
    <w:p w:rsidR="003B1DD7" w:rsidRDefault="003B1DD7" w:rsidP="00D65400">
      <w:pPr>
        <w:spacing w:after="0"/>
        <w:ind w:firstLine="720"/>
        <w:rPr>
          <w:rFonts w:ascii="Garamond" w:hAnsi="Garamond"/>
          <w:sz w:val="28"/>
          <w:szCs w:val="28"/>
        </w:rPr>
      </w:pPr>
      <w:r>
        <w:rPr>
          <w:rFonts w:ascii="Garamond" w:hAnsi="Garamond"/>
          <w:sz w:val="28"/>
          <w:szCs w:val="28"/>
        </w:rPr>
        <w:t>(pp. 58 – 61)</w:t>
      </w:r>
    </w:p>
    <w:p w:rsidR="003B1DD7" w:rsidRDefault="003B1DD7" w:rsidP="00D65400">
      <w:pPr>
        <w:spacing w:after="0"/>
        <w:ind w:firstLine="720"/>
        <w:rPr>
          <w:rFonts w:ascii="Garamond" w:hAnsi="Garamond"/>
          <w:sz w:val="28"/>
          <w:szCs w:val="28"/>
        </w:rPr>
      </w:pPr>
    </w:p>
    <w:p w:rsidR="003B1DD7" w:rsidRDefault="00810BC8" w:rsidP="00810BC8">
      <w:pPr>
        <w:spacing w:after="0"/>
        <w:ind w:left="720"/>
        <w:rPr>
          <w:rFonts w:ascii="Garamond" w:hAnsi="Garamond"/>
          <w:b/>
          <w:sz w:val="28"/>
          <w:szCs w:val="28"/>
          <w:u w:val="single"/>
        </w:rPr>
      </w:pPr>
      <w:r>
        <w:rPr>
          <w:rFonts w:ascii="Garamond" w:hAnsi="Garamond"/>
          <w:b/>
          <w:sz w:val="28"/>
          <w:szCs w:val="28"/>
          <w:u w:val="single"/>
        </w:rPr>
        <w:t>Rosa Parks is arrested for protesting bus segregation (December, 1955) and she becomes the figurehead of the movement</w:t>
      </w:r>
    </w:p>
    <w:p w:rsidR="00810BC8" w:rsidRDefault="00810BC8" w:rsidP="00810BC8">
      <w:pPr>
        <w:spacing w:after="0"/>
        <w:ind w:left="720"/>
        <w:rPr>
          <w:rFonts w:ascii="Garamond" w:hAnsi="Garamond"/>
          <w:sz w:val="28"/>
          <w:szCs w:val="28"/>
        </w:rPr>
      </w:pPr>
      <w:r>
        <w:rPr>
          <w:rFonts w:ascii="Garamond" w:hAnsi="Garamond"/>
          <w:sz w:val="28"/>
          <w:szCs w:val="28"/>
        </w:rPr>
        <w:t xml:space="preserve">(pp. </w:t>
      </w:r>
      <w:r w:rsidR="004C4405">
        <w:rPr>
          <w:rFonts w:ascii="Garamond" w:hAnsi="Garamond"/>
          <w:sz w:val="28"/>
          <w:szCs w:val="28"/>
        </w:rPr>
        <w:t>63 – 71)</w:t>
      </w:r>
    </w:p>
    <w:p w:rsidR="004C4405" w:rsidRDefault="004C4405" w:rsidP="00810BC8">
      <w:pPr>
        <w:spacing w:after="0"/>
        <w:ind w:left="720"/>
        <w:rPr>
          <w:rFonts w:ascii="Garamond" w:hAnsi="Garamond"/>
          <w:sz w:val="28"/>
          <w:szCs w:val="28"/>
        </w:rPr>
      </w:pPr>
    </w:p>
    <w:p w:rsidR="004C4405" w:rsidRDefault="004C4405" w:rsidP="00810BC8">
      <w:pPr>
        <w:spacing w:after="0"/>
        <w:ind w:left="720"/>
        <w:rPr>
          <w:rFonts w:ascii="Garamond" w:hAnsi="Garamond"/>
          <w:b/>
          <w:sz w:val="28"/>
          <w:szCs w:val="28"/>
          <w:u w:val="single"/>
        </w:rPr>
      </w:pPr>
      <w:r>
        <w:rPr>
          <w:rFonts w:ascii="Garamond" w:hAnsi="Garamond"/>
          <w:b/>
          <w:sz w:val="28"/>
          <w:szCs w:val="28"/>
          <w:u w:val="single"/>
        </w:rPr>
        <w:t>The Montgomery Improvement Association organizes the citywide bus boycott</w:t>
      </w:r>
    </w:p>
    <w:p w:rsidR="004C4405" w:rsidRDefault="004C4405" w:rsidP="00810BC8">
      <w:pPr>
        <w:spacing w:after="0"/>
        <w:ind w:left="720"/>
        <w:rPr>
          <w:rFonts w:ascii="Garamond" w:hAnsi="Garamond"/>
          <w:sz w:val="28"/>
          <w:szCs w:val="28"/>
        </w:rPr>
      </w:pPr>
      <w:r>
        <w:rPr>
          <w:rFonts w:ascii="Garamond" w:hAnsi="Garamond"/>
          <w:sz w:val="28"/>
          <w:szCs w:val="28"/>
        </w:rPr>
        <w:t>(pp. 73 – 81)</w:t>
      </w:r>
    </w:p>
    <w:p w:rsidR="004C4405" w:rsidRDefault="004C4405" w:rsidP="00810BC8">
      <w:pPr>
        <w:spacing w:after="0"/>
        <w:ind w:left="720"/>
        <w:rPr>
          <w:rFonts w:ascii="Garamond" w:hAnsi="Garamond"/>
          <w:sz w:val="28"/>
          <w:szCs w:val="28"/>
        </w:rPr>
      </w:pPr>
    </w:p>
    <w:p w:rsidR="004C4405" w:rsidRDefault="004C4405" w:rsidP="00810BC8">
      <w:pPr>
        <w:spacing w:after="0"/>
        <w:ind w:left="720"/>
        <w:rPr>
          <w:rFonts w:ascii="Garamond" w:hAnsi="Garamond"/>
          <w:b/>
          <w:sz w:val="28"/>
          <w:szCs w:val="28"/>
          <w:u w:val="single"/>
        </w:rPr>
      </w:pPr>
      <w:r>
        <w:rPr>
          <w:rFonts w:ascii="Garamond" w:hAnsi="Garamond"/>
          <w:b/>
          <w:sz w:val="28"/>
          <w:szCs w:val="28"/>
          <w:u w:val="single"/>
        </w:rPr>
        <w:t xml:space="preserve">The </w:t>
      </w:r>
      <w:r>
        <w:rPr>
          <w:rFonts w:ascii="Garamond" w:hAnsi="Garamond"/>
          <w:b/>
          <w:i/>
          <w:sz w:val="28"/>
          <w:szCs w:val="28"/>
          <w:u w:val="single"/>
        </w:rPr>
        <w:t xml:space="preserve">Browder v. Gayle </w:t>
      </w:r>
      <w:r>
        <w:rPr>
          <w:rFonts w:ascii="Garamond" w:hAnsi="Garamond"/>
          <w:b/>
          <w:sz w:val="28"/>
          <w:szCs w:val="28"/>
          <w:u w:val="single"/>
        </w:rPr>
        <w:t>lawsuit is organized and started, with Claudette a plaintiff</w:t>
      </w:r>
    </w:p>
    <w:p w:rsidR="004C4405" w:rsidRDefault="004C4405" w:rsidP="00810BC8">
      <w:pPr>
        <w:spacing w:after="0"/>
        <w:ind w:left="720"/>
        <w:rPr>
          <w:rFonts w:ascii="Garamond" w:hAnsi="Garamond"/>
          <w:sz w:val="28"/>
          <w:szCs w:val="28"/>
        </w:rPr>
      </w:pPr>
      <w:r>
        <w:rPr>
          <w:rFonts w:ascii="Garamond" w:hAnsi="Garamond"/>
          <w:sz w:val="28"/>
          <w:szCs w:val="28"/>
        </w:rPr>
        <w:t xml:space="preserve">(pp. 81 – 85) This section includes description of Claudette’s having to juggle being a teenage mother with her role in the movement.  </w:t>
      </w:r>
    </w:p>
    <w:p w:rsidR="004C4405" w:rsidRDefault="004C4405" w:rsidP="00810BC8">
      <w:pPr>
        <w:spacing w:after="0"/>
        <w:ind w:left="720"/>
        <w:rPr>
          <w:rFonts w:ascii="Garamond" w:hAnsi="Garamond"/>
          <w:sz w:val="28"/>
          <w:szCs w:val="28"/>
        </w:rPr>
      </w:pPr>
    </w:p>
    <w:p w:rsidR="004C4405" w:rsidRDefault="004C4405" w:rsidP="00810BC8">
      <w:pPr>
        <w:spacing w:after="0"/>
        <w:ind w:left="720"/>
        <w:rPr>
          <w:rFonts w:ascii="Garamond" w:hAnsi="Garamond"/>
          <w:b/>
          <w:sz w:val="28"/>
          <w:szCs w:val="28"/>
          <w:u w:val="single"/>
        </w:rPr>
      </w:pPr>
      <w:r>
        <w:rPr>
          <w:rFonts w:ascii="Garamond" w:hAnsi="Garamond"/>
          <w:b/>
          <w:sz w:val="28"/>
          <w:szCs w:val="28"/>
          <w:u w:val="single"/>
        </w:rPr>
        <w:t xml:space="preserve">The case of </w:t>
      </w:r>
      <w:r w:rsidRPr="004C4405">
        <w:rPr>
          <w:rFonts w:ascii="Garamond" w:hAnsi="Garamond"/>
          <w:b/>
          <w:i/>
          <w:sz w:val="28"/>
          <w:szCs w:val="28"/>
          <w:u w:val="single"/>
        </w:rPr>
        <w:t>Browder v. Gayle</w:t>
      </w:r>
      <w:r>
        <w:rPr>
          <w:rFonts w:ascii="Garamond" w:hAnsi="Garamond"/>
          <w:b/>
          <w:sz w:val="28"/>
          <w:szCs w:val="28"/>
          <w:u w:val="single"/>
        </w:rPr>
        <w:t xml:space="preserve"> goes to trial in the federal district court in Alabama</w:t>
      </w:r>
    </w:p>
    <w:p w:rsidR="004C4405" w:rsidRDefault="004C4405" w:rsidP="00810BC8">
      <w:pPr>
        <w:spacing w:after="0"/>
        <w:ind w:left="720"/>
        <w:rPr>
          <w:rFonts w:ascii="Garamond" w:hAnsi="Garamond"/>
          <w:sz w:val="28"/>
          <w:szCs w:val="28"/>
        </w:rPr>
      </w:pPr>
      <w:r>
        <w:rPr>
          <w:rFonts w:ascii="Garamond" w:hAnsi="Garamond"/>
          <w:sz w:val="28"/>
          <w:szCs w:val="28"/>
        </w:rPr>
        <w:t>(pp. 88 – 101)</w:t>
      </w:r>
    </w:p>
    <w:p w:rsidR="004C4405" w:rsidRDefault="004C4405" w:rsidP="00810BC8">
      <w:pPr>
        <w:spacing w:after="0"/>
        <w:ind w:left="720"/>
        <w:rPr>
          <w:rFonts w:ascii="Garamond" w:hAnsi="Garamond"/>
          <w:sz w:val="28"/>
          <w:szCs w:val="28"/>
        </w:rPr>
      </w:pPr>
    </w:p>
    <w:p w:rsidR="004C4405" w:rsidRDefault="004654D1" w:rsidP="00810BC8">
      <w:pPr>
        <w:spacing w:after="0"/>
        <w:ind w:left="720"/>
        <w:rPr>
          <w:rFonts w:ascii="Garamond" w:hAnsi="Garamond"/>
          <w:b/>
          <w:sz w:val="28"/>
          <w:szCs w:val="28"/>
          <w:u w:val="single"/>
        </w:rPr>
      </w:pPr>
      <w:r>
        <w:rPr>
          <w:rFonts w:ascii="Garamond" w:hAnsi="Garamond"/>
          <w:b/>
          <w:sz w:val="28"/>
          <w:szCs w:val="28"/>
          <w:u w:val="single"/>
        </w:rPr>
        <w:t xml:space="preserve">The decision in </w:t>
      </w:r>
      <w:r>
        <w:rPr>
          <w:rFonts w:ascii="Garamond" w:hAnsi="Garamond"/>
          <w:b/>
          <w:i/>
          <w:sz w:val="28"/>
          <w:szCs w:val="28"/>
          <w:u w:val="single"/>
        </w:rPr>
        <w:t xml:space="preserve">Browder v. Gayle, </w:t>
      </w:r>
      <w:r>
        <w:rPr>
          <w:rFonts w:ascii="Garamond" w:hAnsi="Garamond"/>
          <w:b/>
          <w:sz w:val="28"/>
          <w:szCs w:val="28"/>
          <w:u w:val="single"/>
        </w:rPr>
        <w:t>and its aftermath</w:t>
      </w:r>
    </w:p>
    <w:p w:rsidR="004654D1" w:rsidRDefault="004654D1" w:rsidP="00810BC8">
      <w:pPr>
        <w:spacing w:after="0"/>
        <w:ind w:left="720"/>
        <w:rPr>
          <w:rFonts w:ascii="Garamond" w:hAnsi="Garamond"/>
          <w:sz w:val="28"/>
          <w:szCs w:val="28"/>
        </w:rPr>
      </w:pPr>
      <w:r>
        <w:rPr>
          <w:rFonts w:ascii="Garamond" w:hAnsi="Garamond"/>
          <w:sz w:val="28"/>
          <w:szCs w:val="28"/>
        </w:rPr>
        <w:t>(pp. 103 – 111)</w:t>
      </w:r>
    </w:p>
    <w:p w:rsidR="004654D1" w:rsidRDefault="004654D1" w:rsidP="00810BC8">
      <w:pPr>
        <w:spacing w:after="0"/>
        <w:ind w:left="720"/>
        <w:rPr>
          <w:rFonts w:ascii="Garamond" w:hAnsi="Garamond"/>
          <w:sz w:val="28"/>
          <w:szCs w:val="28"/>
        </w:rPr>
      </w:pPr>
    </w:p>
    <w:p w:rsidR="004654D1" w:rsidRDefault="004654D1" w:rsidP="00810BC8">
      <w:pPr>
        <w:spacing w:after="0"/>
        <w:ind w:left="720"/>
        <w:rPr>
          <w:rFonts w:ascii="Garamond" w:hAnsi="Garamond"/>
          <w:b/>
          <w:sz w:val="28"/>
          <w:szCs w:val="28"/>
          <w:u w:val="single"/>
        </w:rPr>
      </w:pPr>
      <w:r>
        <w:rPr>
          <w:rFonts w:ascii="Garamond" w:hAnsi="Garamond"/>
          <w:b/>
          <w:sz w:val="28"/>
          <w:szCs w:val="28"/>
          <w:u w:val="single"/>
        </w:rPr>
        <w:t>Claudette Colvin returns to Booker T. Washington on the 50</w:t>
      </w:r>
      <w:r w:rsidRPr="004654D1">
        <w:rPr>
          <w:rFonts w:ascii="Garamond" w:hAnsi="Garamond"/>
          <w:b/>
          <w:sz w:val="28"/>
          <w:szCs w:val="28"/>
          <w:u w:val="single"/>
          <w:vertAlign w:val="superscript"/>
        </w:rPr>
        <w:t>th</w:t>
      </w:r>
      <w:r>
        <w:rPr>
          <w:rFonts w:ascii="Garamond" w:hAnsi="Garamond"/>
          <w:b/>
          <w:sz w:val="28"/>
          <w:szCs w:val="28"/>
          <w:u w:val="single"/>
        </w:rPr>
        <w:t xml:space="preserve"> anniversary of the bus boycotts in Montgomery</w:t>
      </w:r>
    </w:p>
    <w:p w:rsidR="004654D1" w:rsidRPr="004654D1" w:rsidRDefault="004654D1" w:rsidP="00810BC8">
      <w:pPr>
        <w:spacing w:after="0"/>
        <w:ind w:left="720"/>
        <w:rPr>
          <w:rFonts w:ascii="Garamond" w:hAnsi="Garamond"/>
          <w:sz w:val="28"/>
          <w:szCs w:val="28"/>
        </w:rPr>
      </w:pPr>
      <w:r>
        <w:rPr>
          <w:rFonts w:ascii="Garamond" w:hAnsi="Garamond"/>
          <w:sz w:val="28"/>
          <w:szCs w:val="28"/>
        </w:rPr>
        <w:t>(pp. 113 – 119)</w:t>
      </w:r>
    </w:p>
    <w:sectPr w:rsidR="004654D1" w:rsidRPr="004654D1" w:rsidSect="00B74A1B">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AC" w:rsidRDefault="009B64AC" w:rsidP="00433B86">
      <w:pPr>
        <w:spacing w:after="0" w:line="240" w:lineRule="auto"/>
      </w:pPr>
      <w:r>
        <w:separator/>
      </w:r>
    </w:p>
  </w:endnote>
  <w:endnote w:type="continuationSeparator" w:id="0">
    <w:p w:rsidR="009B64AC" w:rsidRDefault="009B64AC"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sidRPr="00AE51E8">
      <w:rPr>
        <w:i/>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E51E8" w:rsidRPr="00AE51E8">
      <w:rPr>
        <w:i/>
        <w:noProof/>
        <w:color w:val="5B9BD5" w:themeColor="accent1"/>
      </w:rPr>
      <w:t>Claudette Colvin: Twice Toward Justice</w:t>
    </w:r>
    <w:r w:rsidR="0001454D">
      <w:rPr>
        <w:color w:val="5B9BD5" w:themeColor="accent1"/>
      </w:rPr>
      <w:t xml:space="preserve"> –</w:t>
    </w:r>
    <w:r w:rsidR="00133468">
      <w:rPr>
        <w:color w:val="5B9BD5" w:themeColor="accent1"/>
      </w:rPr>
      <w:t xml:space="preserve"> </w:t>
    </w:r>
    <w:r w:rsidR="000E2DAA">
      <w:rPr>
        <w:color w:val="5B9BD5" w:themeColor="accent1"/>
      </w:rPr>
      <w:t>Implementation Plan</w:t>
    </w:r>
    <w:r w:rsidR="005E177D">
      <w:rPr>
        <w:color w:val="5B9BD5" w:themeColor="accent1"/>
      </w:rPr>
      <w:tab/>
    </w:r>
    <w:r w:rsidR="00CD16B4">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4654D1" w:rsidRPr="004654D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AC" w:rsidRDefault="009B64AC" w:rsidP="00433B86">
      <w:pPr>
        <w:spacing w:after="0" w:line="240" w:lineRule="auto"/>
      </w:pPr>
      <w:r>
        <w:separator/>
      </w:r>
    </w:p>
  </w:footnote>
  <w:footnote w:type="continuationSeparator" w:id="0">
    <w:p w:rsidR="009B64AC" w:rsidRDefault="009B64AC"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972E27"/>
    <w:multiLevelType w:val="hybridMultilevel"/>
    <w:tmpl w:val="50F63F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454D"/>
    <w:rsid w:val="00015F20"/>
    <w:rsid w:val="00022B7B"/>
    <w:rsid w:val="0002490D"/>
    <w:rsid w:val="00027671"/>
    <w:rsid w:val="000431F5"/>
    <w:rsid w:val="000444F0"/>
    <w:rsid w:val="00045118"/>
    <w:rsid w:val="00054E73"/>
    <w:rsid w:val="00060A96"/>
    <w:rsid w:val="00064B1D"/>
    <w:rsid w:val="00070D7F"/>
    <w:rsid w:val="00081A18"/>
    <w:rsid w:val="00090FE2"/>
    <w:rsid w:val="00097B94"/>
    <w:rsid w:val="00097C25"/>
    <w:rsid w:val="000A2E6B"/>
    <w:rsid w:val="000A530F"/>
    <w:rsid w:val="000B163E"/>
    <w:rsid w:val="000B29A5"/>
    <w:rsid w:val="000C0D63"/>
    <w:rsid w:val="000C17A7"/>
    <w:rsid w:val="000C4969"/>
    <w:rsid w:val="000C505C"/>
    <w:rsid w:val="000C7A84"/>
    <w:rsid w:val="000D204A"/>
    <w:rsid w:val="000E17FD"/>
    <w:rsid w:val="000E2DAA"/>
    <w:rsid w:val="000F317A"/>
    <w:rsid w:val="000F5BEC"/>
    <w:rsid w:val="000F7283"/>
    <w:rsid w:val="000F7485"/>
    <w:rsid w:val="001235B4"/>
    <w:rsid w:val="00133468"/>
    <w:rsid w:val="00137F51"/>
    <w:rsid w:val="001552B4"/>
    <w:rsid w:val="0015590C"/>
    <w:rsid w:val="0017650F"/>
    <w:rsid w:val="001C1615"/>
    <w:rsid w:val="001D015D"/>
    <w:rsid w:val="001E06BE"/>
    <w:rsid w:val="001E5385"/>
    <w:rsid w:val="001F6735"/>
    <w:rsid w:val="0020049A"/>
    <w:rsid w:val="0020517E"/>
    <w:rsid w:val="00211403"/>
    <w:rsid w:val="00212DAC"/>
    <w:rsid w:val="00214603"/>
    <w:rsid w:val="00214980"/>
    <w:rsid w:val="002155B0"/>
    <w:rsid w:val="00216B2F"/>
    <w:rsid w:val="00222F45"/>
    <w:rsid w:val="00225CBD"/>
    <w:rsid w:val="002301A9"/>
    <w:rsid w:val="00231D7D"/>
    <w:rsid w:val="00235188"/>
    <w:rsid w:val="00236B36"/>
    <w:rsid w:val="00236CB7"/>
    <w:rsid w:val="00255EB2"/>
    <w:rsid w:val="002624B1"/>
    <w:rsid w:val="002633E1"/>
    <w:rsid w:val="00264756"/>
    <w:rsid w:val="00270B9E"/>
    <w:rsid w:val="00275A9D"/>
    <w:rsid w:val="00284BF6"/>
    <w:rsid w:val="00294D4E"/>
    <w:rsid w:val="002A06FC"/>
    <w:rsid w:val="002B34B7"/>
    <w:rsid w:val="002B5563"/>
    <w:rsid w:val="002C6718"/>
    <w:rsid w:val="002D5493"/>
    <w:rsid w:val="002D6AAE"/>
    <w:rsid w:val="002E5DB8"/>
    <w:rsid w:val="002F37DD"/>
    <w:rsid w:val="003003DE"/>
    <w:rsid w:val="00315102"/>
    <w:rsid w:val="00322D38"/>
    <w:rsid w:val="00322EEF"/>
    <w:rsid w:val="00323166"/>
    <w:rsid w:val="00324BC9"/>
    <w:rsid w:val="00326DA1"/>
    <w:rsid w:val="00332955"/>
    <w:rsid w:val="00334ACA"/>
    <w:rsid w:val="00335A9F"/>
    <w:rsid w:val="00341C32"/>
    <w:rsid w:val="003538E7"/>
    <w:rsid w:val="00354368"/>
    <w:rsid w:val="00364FBD"/>
    <w:rsid w:val="00382CDB"/>
    <w:rsid w:val="0038725B"/>
    <w:rsid w:val="00391046"/>
    <w:rsid w:val="003942C3"/>
    <w:rsid w:val="003956C5"/>
    <w:rsid w:val="003B1DD7"/>
    <w:rsid w:val="003D7DC8"/>
    <w:rsid w:val="003E6F98"/>
    <w:rsid w:val="00401A8E"/>
    <w:rsid w:val="00406016"/>
    <w:rsid w:val="00406E7E"/>
    <w:rsid w:val="00412149"/>
    <w:rsid w:val="00422AE7"/>
    <w:rsid w:val="004246D7"/>
    <w:rsid w:val="004253FF"/>
    <w:rsid w:val="00433B86"/>
    <w:rsid w:val="00434346"/>
    <w:rsid w:val="00436CEB"/>
    <w:rsid w:val="00444CAE"/>
    <w:rsid w:val="004533C3"/>
    <w:rsid w:val="00455513"/>
    <w:rsid w:val="00464819"/>
    <w:rsid w:val="00465303"/>
    <w:rsid w:val="004654D1"/>
    <w:rsid w:val="00472426"/>
    <w:rsid w:val="004870A9"/>
    <w:rsid w:val="004A4B8C"/>
    <w:rsid w:val="004A5720"/>
    <w:rsid w:val="004B13BB"/>
    <w:rsid w:val="004B5DE9"/>
    <w:rsid w:val="004B6022"/>
    <w:rsid w:val="004C4405"/>
    <w:rsid w:val="004C5362"/>
    <w:rsid w:val="004F2181"/>
    <w:rsid w:val="004F2432"/>
    <w:rsid w:val="004F42EA"/>
    <w:rsid w:val="0050291F"/>
    <w:rsid w:val="00504D28"/>
    <w:rsid w:val="0051695E"/>
    <w:rsid w:val="00520AAE"/>
    <w:rsid w:val="00534F02"/>
    <w:rsid w:val="005510AF"/>
    <w:rsid w:val="00552AB7"/>
    <w:rsid w:val="005554CA"/>
    <w:rsid w:val="005622E0"/>
    <w:rsid w:val="00563185"/>
    <w:rsid w:val="0056395F"/>
    <w:rsid w:val="00573B89"/>
    <w:rsid w:val="00592259"/>
    <w:rsid w:val="00593884"/>
    <w:rsid w:val="005949D3"/>
    <w:rsid w:val="005A31A9"/>
    <w:rsid w:val="005A77CF"/>
    <w:rsid w:val="005B0307"/>
    <w:rsid w:val="005B3B7A"/>
    <w:rsid w:val="005C16B0"/>
    <w:rsid w:val="005C2D8D"/>
    <w:rsid w:val="005C62E0"/>
    <w:rsid w:val="005D367C"/>
    <w:rsid w:val="005D5F46"/>
    <w:rsid w:val="005E067B"/>
    <w:rsid w:val="005E177D"/>
    <w:rsid w:val="005F3DE8"/>
    <w:rsid w:val="005F56B9"/>
    <w:rsid w:val="005F61AE"/>
    <w:rsid w:val="00606D11"/>
    <w:rsid w:val="00612796"/>
    <w:rsid w:val="006146AA"/>
    <w:rsid w:val="006178E6"/>
    <w:rsid w:val="00623B47"/>
    <w:rsid w:val="00633467"/>
    <w:rsid w:val="006335A8"/>
    <w:rsid w:val="0063697B"/>
    <w:rsid w:val="00637747"/>
    <w:rsid w:val="00647854"/>
    <w:rsid w:val="00655805"/>
    <w:rsid w:val="0065736D"/>
    <w:rsid w:val="006737CF"/>
    <w:rsid w:val="00680018"/>
    <w:rsid w:val="006828A1"/>
    <w:rsid w:val="00682D4B"/>
    <w:rsid w:val="00691407"/>
    <w:rsid w:val="00692BF6"/>
    <w:rsid w:val="00694CC4"/>
    <w:rsid w:val="006A3863"/>
    <w:rsid w:val="006A5B32"/>
    <w:rsid w:val="006A6299"/>
    <w:rsid w:val="006A6B32"/>
    <w:rsid w:val="006B427C"/>
    <w:rsid w:val="006B69A0"/>
    <w:rsid w:val="006B6C8A"/>
    <w:rsid w:val="006C0753"/>
    <w:rsid w:val="006C34C3"/>
    <w:rsid w:val="006D2F09"/>
    <w:rsid w:val="006D67D9"/>
    <w:rsid w:val="006D70AE"/>
    <w:rsid w:val="006E19A0"/>
    <w:rsid w:val="006E6C19"/>
    <w:rsid w:val="006E7020"/>
    <w:rsid w:val="006F5F54"/>
    <w:rsid w:val="006F63A5"/>
    <w:rsid w:val="00700E75"/>
    <w:rsid w:val="00704161"/>
    <w:rsid w:val="00706A9B"/>
    <w:rsid w:val="00710AA6"/>
    <w:rsid w:val="0071167E"/>
    <w:rsid w:val="00722240"/>
    <w:rsid w:val="00726003"/>
    <w:rsid w:val="007438C1"/>
    <w:rsid w:val="0075101E"/>
    <w:rsid w:val="00757508"/>
    <w:rsid w:val="00763BCB"/>
    <w:rsid w:val="00775612"/>
    <w:rsid w:val="007759B2"/>
    <w:rsid w:val="007835DB"/>
    <w:rsid w:val="00784B6D"/>
    <w:rsid w:val="00786257"/>
    <w:rsid w:val="007910CD"/>
    <w:rsid w:val="007921D6"/>
    <w:rsid w:val="007934FD"/>
    <w:rsid w:val="007A2EDC"/>
    <w:rsid w:val="007A3388"/>
    <w:rsid w:val="007B0CDC"/>
    <w:rsid w:val="007B3A0A"/>
    <w:rsid w:val="007C41F1"/>
    <w:rsid w:val="007C5BC5"/>
    <w:rsid w:val="007C7079"/>
    <w:rsid w:val="007D2616"/>
    <w:rsid w:val="007D773E"/>
    <w:rsid w:val="007E693B"/>
    <w:rsid w:val="007F71E8"/>
    <w:rsid w:val="00800741"/>
    <w:rsid w:val="00806316"/>
    <w:rsid w:val="00810BC8"/>
    <w:rsid w:val="0082047B"/>
    <w:rsid w:val="00824225"/>
    <w:rsid w:val="00827C93"/>
    <w:rsid w:val="00837D9D"/>
    <w:rsid w:val="00841618"/>
    <w:rsid w:val="008428DC"/>
    <w:rsid w:val="00844BEF"/>
    <w:rsid w:val="00854A7A"/>
    <w:rsid w:val="00855CF0"/>
    <w:rsid w:val="00862B64"/>
    <w:rsid w:val="008772B7"/>
    <w:rsid w:val="00884C83"/>
    <w:rsid w:val="008A38D6"/>
    <w:rsid w:val="008A4DD4"/>
    <w:rsid w:val="008C2B2B"/>
    <w:rsid w:val="008C58E4"/>
    <w:rsid w:val="008C7687"/>
    <w:rsid w:val="008D3F42"/>
    <w:rsid w:val="008E11C3"/>
    <w:rsid w:val="008E748D"/>
    <w:rsid w:val="008F3A7B"/>
    <w:rsid w:val="008F7300"/>
    <w:rsid w:val="00904F2A"/>
    <w:rsid w:val="00920D0C"/>
    <w:rsid w:val="00921586"/>
    <w:rsid w:val="00921D0C"/>
    <w:rsid w:val="00923300"/>
    <w:rsid w:val="00930535"/>
    <w:rsid w:val="0093377F"/>
    <w:rsid w:val="00945B56"/>
    <w:rsid w:val="009530C4"/>
    <w:rsid w:val="00955451"/>
    <w:rsid w:val="00963316"/>
    <w:rsid w:val="00966D8C"/>
    <w:rsid w:val="00974C35"/>
    <w:rsid w:val="00975EF7"/>
    <w:rsid w:val="00977EE8"/>
    <w:rsid w:val="00977F3C"/>
    <w:rsid w:val="00986F84"/>
    <w:rsid w:val="009924A4"/>
    <w:rsid w:val="00995924"/>
    <w:rsid w:val="00996406"/>
    <w:rsid w:val="009A0059"/>
    <w:rsid w:val="009A3273"/>
    <w:rsid w:val="009B40C4"/>
    <w:rsid w:val="009B4FCB"/>
    <w:rsid w:val="009B64AC"/>
    <w:rsid w:val="009C1520"/>
    <w:rsid w:val="009C15BB"/>
    <w:rsid w:val="009C4A08"/>
    <w:rsid w:val="009C5DA9"/>
    <w:rsid w:val="009D055B"/>
    <w:rsid w:val="009D54B1"/>
    <w:rsid w:val="009E1696"/>
    <w:rsid w:val="009E3A46"/>
    <w:rsid w:val="009F3563"/>
    <w:rsid w:val="00A05964"/>
    <w:rsid w:val="00A071ED"/>
    <w:rsid w:val="00A1347F"/>
    <w:rsid w:val="00A20E21"/>
    <w:rsid w:val="00A21CDB"/>
    <w:rsid w:val="00A26B24"/>
    <w:rsid w:val="00A277C6"/>
    <w:rsid w:val="00A62A08"/>
    <w:rsid w:val="00A65F09"/>
    <w:rsid w:val="00A665B7"/>
    <w:rsid w:val="00A70B64"/>
    <w:rsid w:val="00A70D4D"/>
    <w:rsid w:val="00A750F1"/>
    <w:rsid w:val="00A7536A"/>
    <w:rsid w:val="00A7654E"/>
    <w:rsid w:val="00A817EB"/>
    <w:rsid w:val="00A8446A"/>
    <w:rsid w:val="00A91AA4"/>
    <w:rsid w:val="00A9210C"/>
    <w:rsid w:val="00A9645D"/>
    <w:rsid w:val="00AA1449"/>
    <w:rsid w:val="00AA4CC0"/>
    <w:rsid w:val="00AA611D"/>
    <w:rsid w:val="00AA7273"/>
    <w:rsid w:val="00AB6BCD"/>
    <w:rsid w:val="00AB7866"/>
    <w:rsid w:val="00AD531D"/>
    <w:rsid w:val="00AD601E"/>
    <w:rsid w:val="00AE0363"/>
    <w:rsid w:val="00AE2FBE"/>
    <w:rsid w:val="00AE51E8"/>
    <w:rsid w:val="00AF15D2"/>
    <w:rsid w:val="00AF471E"/>
    <w:rsid w:val="00AF572D"/>
    <w:rsid w:val="00AF744F"/>
    <w:rsid w:val="00B027A1"/>
    <w:rsid w:val="00B061FC"/>
    <w:rsid w:val="00B1392F"/>
    <w:rsid w:val="00B2075F"/>
    <w:rsid w:val="00B23B18"/>
    <w:rsid w:val="00B27405"/>
    <w:rsid w:val="00B36132"/>
    <w:rsid w:val="00B4065A"/>
    <w:rsid w:val="00B413C9"/>
    <w:rsid w:val="00B41504"/>
    <w:rsid w:val="00B41753"/>
    <w:rsid w:val="00B4482E"/>
    <w:rsid w:val="00B44F94"/>
    <w:rsid w:val="00B45F8E"/>
    <w:rsid w:val="00B46F6B"/>
    <w:rsid w:val="00B5477B"/>
    <w:rsid w:val="00B618FF"/>
    <w:rsid w:val="00B7260F"/>
    <w:rsid w:val="00B74A1B"/>
    <w:rsid w:val="00B871AC"/>
    <w:rsid w:val="00B9161B"/>
    <w:rsid w:val="00B947E1"/>
    <w:rsid w:val="00B967B2"/>
    <w:rsid w:val="00BA58C7"/>
    <w:rsid w:val="00BC0AE1"/>
    <w:rsid w:val="00BC41F7"/>
    <w:rsid w:val="00BD0DF4"/>
    <w:rsid w:val="00BD4AD9"/>
    <w:rsid w:val="00BD6625"/>
    <w:rsid w:val="00BE06AE"/>
    <w:rsid w:val="00BF6FF1"/>
    <w:rsid w:val="00C06FAE"/>
    <w:rsid w:val="00C1379A"/>
    <w:rsid w:val="00C145D6"/>
    <w:rsid w:val="00C20377"/>
    <w:rsid w:val="00C32A66"/>
    <w:rsid w:val="00C4441C"/>
    <w:rsid w:val="00C4664C"/>
    <w:rsid w:val="00C468B2"/>
    <w:rsid w:val="00C56003"/>
    <w:rsid w:val="00C628B0"/>
    <w:rsid w:val="00C64703"/>
    <w:rsid w:val="00C7756B"/>
    <w:rsid w:val="00C80605"/>
    <w:rsid w:val="00C81BF6"/>
    <w:rsid w:val="00C8562D"/>
    <w:rsid w:val="00C91FE5"/>
    <w:rsid w:val="00C939FE"/>
    <w:rsid w:val="00CA6AE0"/>
    <w:rsid w:val="00CA6FE4"/>
    <w:rsid w:val="00CB0E4F"/>
    <w:rsid w:val="00CB1708"/>
    <w:rsid w:val="00CB1818"/>
    <w:rsid w:val="00CB48C9"/>
    <w:rsid w:val="00CB527D"/>
    <w:rsid w:val="00CC589B"/>
    <w:rsid w:val="00CD16B4"/>
    <w:rsid w:val="00CD1BC8"/>
    <w:rsid w:val="00CD1DCC"/>
    <w:rsid w:val="00CD3F1B"/>
    <w:rsid w:val="00CE1804"/>
    <w:rsid w:val="00CE34F4"/>
    <w:rsid w:val="00CE4463"/>
    <w:rsid w:val="00CF7485"/>
    <w:rsid w:val="00D004A6"/>
    <w:rsid w:val="00D019EE"/>
    <w:rsid w:val="00D066FC"/>
    <w:rsid w:val="00D1330C"/>
    <w:rsid w:val="00D13350"/>
    <w:rsid w:val="00D21D38"/>
    <w:rsid w:val="00D237AB"/>
    <w:rsid w:val="00D36D83"/>
    <w:rsid w:val="00D37909"/>
    <w:rsid w:val="00D37AFB"/>
    <w:rsid w:val="00D52CD7"/>
    <w:rsid w:val="00D534F2"/>
    <w:rsid w:val="00D65400"/>
    <w:rsid w:val="00D752D8"/>
    <w:rsid w:val="00D90983"/>
    <w:rsid w:val="00DA1468"/>
    <w:rsid w:val="00DA5137"/>
    <w:rsid w:val="00DA5BD8"/>
    <w:rsid w:val="00DA5F46"/>
    <w:rsid w:val="00DB23F4"/>
    <w:rsid w:val="00DB2580"/>
    <w:rsid w:val="00DB3FE0"/>
    <w:rsid w:val="00DC6411"/>
    <w:rsid w:val="00DD49F2"/>
    <w:rsid w:val="00DD5471"/>
    <w:rsid w:val="00DE0BA4"/>
    <w:rsid w:val="00DE5311"/>
    <w:rsid w:val="00DE5F74"/>
    <w:rsid w:val="00DF0D83"/>
    <w:rsid w:val="00DF10FE"/>
    <w:rsid w:val="00DF75C9"/>
    <w:rsid w:val="00DF7CA5"/>
    <w:rsid w:val="00E240F5"/>
    <w:rsid w:val="00E33E8F"/>
    <w:rsid w:val="00E365AD"/>
    <w:rsid w:val="00E36CD6"/>
    <w:rsid w:val="00E37D96"/>
    <w:rsid w:val="00E56F98"/>
    <w:rsid w:val="00E65ABC"/>
    <w:rsid w:val="00E66C2F"/>
    <w:rsid w:val="00E705FA"/>
    <w:rsid w:val="00E70E90"/>
    <w:rsid w:val="00E7385A"/>
    <w:rsid w:val="00E73B2E"/>
    <w:rsid w:val="00E743AD"/>
    <w:rsid w:val="00E77F48"/>
    <w:rsid w:val="00E838D1"/>
    <w:rsid w:val="00E83D38"/>
    <w:rsid w:val="00E921CC"/>
    <w:rsid w:val="00EA1E6F"/>
    <w:rsid w:val="00EA31E1"/>
    <w:rsid w:val="00EA5C77"/>
    <w:rsid w:val="00EA67B1"/>
    <w:rsid w:val="00EB139F"/>
    <w:rsid w:val="00EB7E1A"/>
    <w:rsid w:val="00EC0812"/>
    <w:rsid w:val="00EC60F3"/>
    <w:rsid w:val="00EC6323"/>
    <w:rsid w:val="00ED3739"/>
    <w:rsid w:val="00ED3C5A"/>
    <w:rsid w:val="00ED6EF0"/>
    <w:rsid w:val="00EF23D6"/>
    <w:rsid w:val="00EF5512"/>
    <w:rsid w:val="00EF5F26"/>
    <w:rsid w:val="00EF6320"/>
    <w:rsid w:val="00F0556B"/>
    <w:rsid w:val="00F12D55"/>
    <w:rsid w:val="00F20897"/>
    <w:rsid w:val="00F31D85"/>
    <w:rsid w:val="00F40DBC"/>
    <w:rsid w:val="00F41B99"/>
    <w:rsid w:val="00F423AF"/>
    <w:rsid w:val="00F4347E"/>
    <w:rsid w:val="00F443E8"/>
    <w:rsid w:val="00F456A9"/>
    <w:rsid w:val="00F51AD4"/>
    <w:rsid w:val="00F544F6"/>
    <w:rsid w:val="00F55DA3"/>
    <w:rsid w:val="00F578CD"/>
    <w:rsid w:val="00F64154"/>
    <w:rsid w:val="00F6441B"/>
    <w:rsid w:val="00F7714B"/>
    <w:rsid w:val="00F91142"/>
    <w:rsid w:val="00F928DB"/>
    <w:rsid w:val="00F93B95"/>
    <w:rsid w:val="00FA0C56"/>
    <w:rsid w:val="00FA1B76"/>
    <w:rsid w:val="00FA440D"/>
    <w:rsid w:val="00FB068D"/>
    <w:rsid w:val="00FC39EB"/>
    <w:rsid w:val="00FC682F"/>
    <w:rsid w:val="00FD545D"/>
    <w:rsid w:val="00FE0326"/>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27D1"/>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494">
      <w:bodyDiv w:val="1"/>
      <w:marLeft w:val="0"/>
      <w:marRight w:val="0"/>
      <w:marTop w:val="0"/>
      <w:marBottom w:val="0"/>
      <w:divBdr>
        <w:top w:val="none" w:sz="0" w:space="0" w:color="auto"/>
        <w:left w:val="none" w:sz="0" w:space="0" w:color="auto"/>
        <w:bottom w:val="none" w:sz="0" w:space="0" w:color="auto"/>
        <w:right w:val="none" w:sz="0" w:space="0" w:color="auto"/>
      </w:divBdr>
      <w:divsChild>
        <w:div w:id="1132750161">
          <w:marLeft w:val="600"/>
          <w:marRight w:val="0"/>
          <w:marTop w:val="0"/>
          <w:marBottom w:val="0"/>
          <w:divBdr>
            <w:top w:val="none" w:sz="0" w:space="0" w:color="auto"/>
            <w:left w:val="none" w:sz="0" w:space="0" w:color="auto"/>
            <w:bottom w:val="none" w:sz="0" w:space="0" w:color="auto"/>
            <w:right w:val="none" w:sz="0" w:space="0" w:color="auto"/>
          </w:divBdr>
          <w:divsChild>
            <w:div w:id="1369834358">
              <w:marLeft w:val="600"/>
              <w:marRight w:val="0"/>
              <w:marTop w:val="0"/>
              <w:marBottom w:val="0"/>
              <w:divBdr>
                <w:top w:val="none" w:sz="0" w:space="0" w:color="auto"/>
                <w:left w:val="none" w:sz="0" w:space="0" w:color="auto"/>
                <w:bottom w:val="none" w:sz="0" w:space="0" w:color="auto"/>
                <w:right w:val="none" w:sz="0" w:space="0" w:color="auto"/>
              </w:divBdr>
            </w:div>
          </w:divsChild>
        </w:div>
        <w:div w:id="440271316">
          <w:marLeft w:val="600"/>
          <w:marRight w:val="0"/>
          <w:marTop w:val="0"/>
          <w:marBottom w:val="0"/>
          <w:divBdr>
            <w:top w:val="none" w:sz="0" w:space="0" w:color="auto"/>
            <w:left w:val="none" w:sz="0" w:space="0" w:color="auto"/>
            <w:bottom w:val="none" w:sz="0" w:space="0" w:color="auto"/>
            <w:right w:val="none" w:sz="0" w:space="0" w:color="auto"/>
          </w:divBdr>
          <w:divsChild>
            <w:div w:id="2018842219">
              <w:marLeft w:val="600"/>
              <w:marRight w:val="0"/>
              <w:marTop w:val="0"/>
              <w:marBottom w:val="0"/>
              <w:divBdr>
                <w:top w:val="none" w:sz="0" w:space="0" w:color="auto"/>
                <w:left w:val="none" w:sz="0" w:space="0" w:color="auto"/>
                <w:bottom w:val="none" w:sz="0" w:space="0" w:color="auto"/>
                <w:right w:val="none" w:sz="0" w:space="0" w:color="auto"/>
              </w:divBdr>
            </w:div>
          </w:divsChild>
        </w:div>
        <w:div w:id="1534149944">
          <w:marLeft w:val="600"/>
          <w:marRight w:val="0"/>
          <w:marTop w:val="0"/>
          <w:marBottom w:val="0"/>
          <w:divBdr>
            <w:top w:val="none" w:sz="0" w:space="0" w:color="auto"/>
            <w:left w:val="none" w:sz="0" w:space="0" w:color="auto"/>
            <w:bottom w:val="none" w:sz="0" w:space="0" w:color="auto"/>
            <w:right w:val="none" w:sz="0" w:space="0" w:color="auto"/>
          </w:divBdr>
          <w:divsChild>
            <w:div w:id="7147364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487354140">
      <w:bodyDiv w:val="1"/>
      <w:marLeft w:val="0"/>
      <w:marRight w:val="0"/>
      <w:marTop w:val="0"/>
      <w:marBottom w:val="0"/>
      <w:divBdr>
        <w:top w:val="none" w:sz="0" w:space="0" w:color="auto"/>
        <w:left w:val="none" w:sz="0" w:space="0" w:color="auto"/>
        <w:bottom w:val="none" w:sz="0" w:space="0" w:color="auto"/>
        <w:right w:val="none" w:sz="0" w:space="0" w:color="auto"/>
      </w:divBdr>
      <w:divsChild>
        <w:div w:id="363747117">
          <w:marLeft w:val="600"/>
          <w:marRight w:val="0"/>
          <w:marTop w:val="0"/>
          <w:marBottom w:val="0"/>
          <w:divBdr>
            <w:top w:val="none" w:sz="0" w:space="0" w:color="auto"/>
            <w:left w:val="none" w:sz="0" w:space="0" w:color="auto"/>
            <w:bottom w:val="none" w:sz="0" w:space="0" w:color="auto"/>
            <w:right w:val="none" w:sz="0" w:space="0" w:color="auto"/>
          </w:divBdr>
          <w:divsChild>
            <w:div w:id="632096625">
              <w:marLeft w:val="600"/>
              <w:marRight w:val="0"/>
              <w:marTop w:val="0"/>
              <w:marBottom w:val="0"/>
              <w:divBdr>
                <w:top w:val="none" w:sz="0" w:space="0" w:color="auto"/>
                <w:left w:val="none" w:sz="0" w:space="0" w:color="auto"/>
                <w:bottom w:val="none" w:sz="0" w:space="0" w:color="auto"/>
                <w:right w:val="none" w:sz="0" w:space="0" w:color="auto"/>
              </w:divBdr>
            </w:div>
          </w:divsChild>
        </w:div>
        <w:div w:id="1435200331">
          <w:marLeft w:val="600"/>
          <w:marRight w:val="0"/>
          <w:marTop w:val="0"/>
          <w:marBottom w:val="0"/>
          <w:divBdr>
            <w:top w:val="none" w:sz="0" w:space="0" w:color="auto"/>
            <w:left w:val="none" w:sz="0" w:space="0" w:color="auto"/>
            <w:bottom w:val="none" w:sz="0" w:space="0" w:color="auto"/>
            <w:right w:val="none" w:sz="0" w:space="0" w:color="auto"/>
          </w:divBdr>
          <w:divsChild>
            <w:div w:id="1910649014">
              <w:marLeft w:val="600"/>
              <w:marRight w:val="0"/>
              <w:marTop w:val="0"/>
              <w:marBottom w:val="0"/>
              <w:divBdr>
                <w:top w:val="none" w:sz="0" w:space="0" w:color="auto"/>
                <w:left w:val="none" w:sz="0" w:space="0" w:color="auto"/>
                <w:bottom w:val="none" w:sz="0" w:space="0" w:color="auto"/>
                <w:right w:val="none" w:sz="0" w:space="0" w:color="auto"/>
              </w:divBdr>
            </w:div>
          </w:divsChild>
        </w:div>
        <w:div w:id="1955555074">
          <w:marLeft w:val="600"/>
          <w:marRight w:val="0"/>
          <w:marTop w:val="0"/>
          <w:marBottom w:val="0"/>
          <w:divBdr>
            <w:top w:val="none" w:sz="0" w:space="0" w:color="auto"/>
            <w:left w:val="none" w:sz="0" w:space="0" w:color="auto"/>
            <w:bottom w:val="none" w:sz="0" w:space="0" w:color="auto"/>
            <w:right w:val="none" w:sz="0" w:space="0" w:color="auto"/>
          </w:divBdr>
          <w:divsChild>
            <w:div w:id="1439106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7</cp:revision>
  <cp:lastPrinted>2017-03-17T13:15:00Z</cp:lastPrinted>
  <dcterms:created xsi:type="dcterms:W3CDTF">2017-03-26T23:16:00Z</dcterms:created>
  <dcterms:modified xsi:type="dcterms:W3CDTF">2017-03-27T14:02:00Z</dcterms:modified>
</cp:coreProperties>
</file>